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14.xml"/>
  <Override ContentType="application/vnd.openxmlformats-officedocument.drawingml.chart+xml" PartName="/word/charts/chart4.xml"/>
  <Override ContentType="application/vnd.openxmlformats-officedocument.drawingml.chart+xml" PartName="/word/charts/chart12.xml"/>
  <Override ContentType="application/vnd.openxmlformats-officedocument.drawingml.chart+xml" PartName="/word/charts/chart10.xml"/>
  <Override ContentType="application/vnd.openxmlformats-officedocument.drawingml.chart+xml" PartName="/word/charts/chart15.xml"/>
  <Override ContentType="application/vnd.openxmlformats-officedocument.drawingml.chart+xml" PartName="/word/charts/chart9.xml"/>
  <Override ContentType="application/vnd.openxmlformats-officedocument.drawingml.chart+xml" PartName="/word/charts/chart17.xml"/>
  <Override ContentType="application/vnd.openxmlformats-officedocument.drawingml.chart+xml" PartName="/word/charts/chart13.xml"/>
  <Override ContentType="application/vnd.openxmlformats-officedocument.drawingml.chart+xml" PartName="/word/charts/chart18.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11.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16.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6.xml"/>
  <Override ContentType="application/vnd.openxmlformats-officedocument.themeOverride+xml" PartName="/word/theme/themeOverride12.xml"/>
  <Override ContentType="application/vnd.openxmlformats-officedocument.themeOverride+xml" PartName="/word/theme/themeOverride8.xml"/>
  <Override ContentType="application/vnd.openxmlformats-officedocument.themeOverride+xml" PartName="/word/theme/themeOverride10.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14.xml"/>
  <Override ContentType="application/vnd.openxmlformats-officedocument.themeOverride+xml" PartName="/word/theme/themeOverride1.xml"/>
  <Override ContentType="application/vnd.openxmlformats-officedocument.themeOverride+xml" PartName="/word/theme/themeOverride16.xml"/>
  <Override ContentType="application/vnd.openxmlformats-officedocument.themeOverride+xml" PartName="/word/theme/themeOverride18.xml"/>
  <Override ContentType="application/vnd.openxmlformats-officedocument.themeOverride+xml" PartName="/word/theme/themeOverride7.xml"/>
  <Override ContentType="application/vnd.openxmlformats-officedocument.themeOverride+xml" PartName="/word/theme/themeOverride13.xml"/>
  <Override ContentType="application/vnd.openxmlformats-officedocument.themeOverride+xml" PartName="/word/theme/themeOverride11.xml"/>
  <Override ContentType="application/vnd.openxmlformats-officedocument.themeOverride+xml" PartName="/word/theme/themeOverride9.xml"/>
  <Override ContentType="application/vnd.openxmlformats-officedocument.themeOverride+xml" PartName="/word/theme/themeOverride4.xml"/>
  <Override ContentType="application/vnd.openxmlformats-officedocument.themeOverride+xml" PartName="/word/theme/themeOverride15.xml"/>
  <Override ContentType="application/vnd.openxmlformats-officedocument.themeOverride+xml" PartName="/word/theme/themeOverride2.xml"/>
  <Override ContentType="application/vnd.openxmlformats-officedocument.themeOverride+xml" PartName="/word/theme/themeOverride17.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400" w:before="240" w:line="240" w:lineRule="auto"/>
        <w:ind w:right="420"/>
        <w:rPr>
          <w:b w:val="1"/>
          <w:sz w:val="48"/>
          <w:szCs w:val="48"/>
        </w:rPr>
      </w:pPr>
      <w:r w:rsidDel="00000000" w:rsidR="00000000" w:rsidRPr="00000000">
        <w:rPr>
          <w:b w:val="1"/>
          <w:sz w:val="48"/>
          <w:szCs w:val="48"/>
          <w:rtl w:val="0"/>
        </w:rPr>
        <w:t xml:space="preserve">2023 Annual Report to the School Community</w:t>
      </w:r>
    </w:p>
    <w:tbl>
      <w:tblPr>
        <w:tblStyle w:val="Table1"/>
        <w:tblpPr w:leftFromText="180" w:rightFromText="180" w:topFromText="0" w:bottomFromText="0" w:vertAnchor="text" w:horzAnchor="text" w:tblpX="0" w:tblpY="1062"/>
        <w:tblW w:w="94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78"/>
        <w:gridCol w:w="6229"/>
        <w:tblGridChange w:id="0">
          <w:tblGrid>
            <w:gridCol w:w="3178"/>
            <w:gridCol w:w="6229"/>
          </w:tblGrid>
        </w:tblGridChange>
      </w:tblGrid>
      <w:tr>
        <w:trPr>
          <w:cantSplit w:val="0"/>
          <w:trHeight w:val="8976" w:hRule="atLeast"/>
          <w:tblHeader w:val="0"/>
        </w:trPr>
        <w:tc>
          <w:tcPr/>
          <w:p w:rsidR="00000000" w:rsidDel="00000000" w:rsidP="00000000" w:rsidRDefault="00000000" w:rsidRPr="00000000" w14:paraId="00000003">
            <w:pPr>
              <w:ind w:left="-509" w:right="419" w:firstLine="0"/>
              <w:jc w:val="center"/>
              <w:rPr>
                <w:color w:val="595959"/>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2300823</wp:posOffset>
                  </wp:positionH>
                  <wp:positionV relativeFrom="paragraph">
                    <wp:posOffset>0</wp:posOffset>
                  </wp:positionV>
                  <wp:extent cx="1428949" cy="952633"/>
                  <wp:effectExtent b="0" l="0" r="0" t="0"/>
                  <wp:wrapNone/>
                  <wp:docPr id="19831859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8949" cy="952633"/>
                          </a:xfrm>
                          <a:prstGeom prst="rect"/>
                          <a:ln/>
                        </pic:spPr>
                      </pic:pic>
                    </a:graphicData>
                  </a:graphic>
                </wp:anchor>
              </w:drawing>
            </w:r>
          </w:p>
        </w:tc>
        <w:tc>
          <w:tcPr/>
          <w:p w:rsidR="00000000" w:rsidDel="00000000" w:rsidP="00000000" w:rsidRDefault="00000000" w:rsidRPr="00000000" w14:paraId="00000004">
            <w:pPr>
              <w:ind w:right="419"/>
              <w:rPr>
                <w:color w:val="595959"/>
              </w:rPr>
            </w:pPr>
            <w:r w:rsidDel="00000000" w:rsidR="00000000" w:rsidRPr="00000000">
              <w:rPr>
                <w:rtl w:val="0"/>
              </w:rPr>
            </w:r>
          </w:p>
          <w:tbl>
            <w:tblPr>
              <w:tblStyle w:val="Table2"/>
              <w:tblW w:w="10632.0" w:type="dxa"/>
              <w:jc w:val="left"/>
              <w:tblInd w:w="-5.0" w:type="dxa"/>
              <w:tblBorders>
                <w:top w:color="000000" w:space="0" w:sz="4" w:val="dashed"/>
                <w:left w:color="000000" w:space="0" w:sz="4" w:val="dashed"/>
                <w:bottom w:color="000000" w:space="0" w:sz="4" w:val="dashed"/>
                <w:right w:color="000000" w:space="0" w:sz="4" w:val="dashed"/>
                <w:insideH w:color="000000" w:space="0" w:sz="0" w:val="nil"/>
                <w:insideV w:color="000000" w:space="0" w:sz="0" w:val="nil"/>
              </w:tblBorders>
              <w:tblLayout w:type="fixed"/>
              <w:tblLook w:val="0400"/>
            </w:tblPr>
            <w:tblGrid>
              <w:gridCol w:w="10632"/>
              <w:tblGridChange w:id="0">
                <w:tblGrid>
                  <w:gridCol w:w="10632"/>
                </w:tblGrid>
              </w:tblGridChange>
            </w:tblGrid>
            <w:tr>
              <w:trPr>
                <w:cantSplit w:val="0"/>
                <w:trHeight w:val="1837" w:hRule="atLeast"/>
                <w:tblHeader w:val="0"/>
              </w:trPr>
              <w:tc>
                <w:tcPr>
                  <w:vAlign w:val="center"/>
                </w:tcPr>
                <w:p w:rsidR="00000000" w:rsidDel="00000000" w:rsidP="00000000" w:rsidRDefault="00000000" w:rsidRPr="00000000" w14:paraId="00000005">
                  <w:pPr>
                    <w:numPr>
                      <w:ilvl w:val="0"/>
                      <w:numId w:val="1"/>
                    </w:numPr>
                    <w:spacing w:after="0" w:line="240" w:lineRule="auto"/>
                    <w:ind w:left="301" w:hanging="360"/>
                    <w:rPr/>
                  </w:pPr>
                  <w:r w:rsidDel="00000000" w:rsidR="00000000" w:rsidRPr="00000000">
                    <w:rPr>
                      <w:rtl w:val="0"/>
                    </w:rPr>
                    <w:t xml:space="preserve">all teachers at the school meet the registration requirements of the </w:t>
                  </w:r>
                  <w:hyperlink r:id="rId8">
                    <w:r w:rsidDel="00000000" w:rsidR="00000000" w:rsidRPr="00000000">
                      <w:rPr>
                        <w:color w:val="0000ff"/>
                        <w:u w:val="single"/>
                        <w:rtl w:val="0"/>
                      </w:rPr>
                      <w:t xml:space="preserve">Victorian Institute of Teaching (VIT)</w:t>
                    </w:r>
                  </w:hyperlink>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301" w:hanging="360"/>
                    <w:rPr/>
                  </w:pPr>
                  <w:r w:rsidDel="00000000" w:rsidR="00000000" w:rsidRPr="00000000">
                    <w:rPr>
                      <w:rtl w:val="0"/>
                    </w:rPr>
                    <w:t xml:space="preserve">the school meets prescribed Minimum Standards for registration as regulated by the Victorian Regulation and Qualifications Authority (VRQA) in accordance with the </w:t>
                  </w:r>
                  <w:hyperlink r:id="rId9">
                    <w:r w:rsidDel="00000000" w:rsidR="00000000" w:rsidRPr="00000000">
                      <w:rPr>
                        <w:color w:val="0000ff"/>
                        <w:u w:val="single"/>
                        <w:rtl w:val="0"/>
                      </w:rPr>
                      <w:t xml:space="preserve">Education and Training Reform Act 2006 (Vic)</w:t>
                    </w:r>
                  </w:hyperlink>
                  <w:r w:rsidDel="00000000" w:rsidR="00000000" w:rsidRPr="00000000">
                    <w:rPr>
                      <w:rtl w:val="0"/>
                    </w:rPr>
                    <w:t xml:space="preserve"> (this includes any exemption granted to this school by the VRQA, for the most recent calendar year, in relation to minimum student enrolment numbers and/or the curriculum framework requirement to deliver a languages program)</w:t>
                  </w:r>
                </w:p>
                <w:p w:rsidR="00000000" w:rsidDel="00000000" w:rsidP="00000000" w:rsidRDefault="00000000" w:rsidRPr="00000000" w14:paraId="00000007">
                  <w:pPr>
                    <w:numPr>
                      <w:ilvl w:val="0"/>
                      <w:numId w:val="1"/>
                    </w:numPr>
                    <w:spacing w:after="0" w:line="240" w:lineRule="auto"/>
                    <w:ind w:left="301" w:hanging="360"/>
                    <w:rPr>
                      <w:color w:val="333333"/>
                      <w:sz w:val="16"/>
                      <w:szCs w:val="16"/>
                    </w:rPr>
                  </w:pPr>
                  <w:r w:rsidDel="00000000" w:rsidR="00000000" w:rsidRPr="00000000">
                    <w:rPr>
                      <w:rtl w:val="0"/>
                    </w:rPr>
                    <w:t xml:space="preserve">the school meets the requirements of the Child Safe Standards as prescribed in </w:t>
                  </w:r>
                  <w:hyperlink r:id="rId10">
                    <w:r w:rsidDel="00000000" w:rsidR="00000000" w:rsidRPr="00000000">
                      <w:rPr>
                        <w:color w:val="0000ff"/>
                        <w:u w:val="single"/>
                        <w:rtl w:val="0"/>
                      </w:rPr>
                      <w:t xml:space="preserve">Ministerial Order 1359 – Implementing the Child Safe Standards – Managing the risk of child abuse in schools (PDF)</w:t>
                    </w:r>
                  </w:hyperlink>
                  <w:r w:rsidDel="00000000" w:rsidR="00000000" w:rsidRPr="00000000">
                    <w:rPr>
                      <w:rtl w:val="0"/>
                    </w:rPr>
                    <w:t xml:space="preserve">.</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08">
                  <w:pPr>
                    <w:spacing w:after="0" w:before="240" w:line="240" w:lineRule="auto"/>
                    <w:rPr/>
                  </w:pPr>
                  <w:r w:rsidDel="00000000" w:rsidR="00000000" w:rsidRPr="00000000">
                    <w:rPr>
                      <w:rtl w:val="0"/>
                    </w:rPr>
                    <w:t xml:space="preserve">Attested on 15 March 2024 at 09:32 AM by Paul Dawson (Principal)</w:t>
                  </w:r>
                </w:p>
              </w:tc>
            </w:tr>
            <w:tr>
              <w:trPr>
                <w:cantSplit w:val="0"/>
                <w:trHeight w:val="522" w:hRule="atLeast"/>
                <w:tblHeader w:val="0"/>
              </w:trPr>
              <w:tc>
                <w:tcPr>
                  <w:vAlign w:val="center"/>
                </w:tcPr>
                <w:p w:rsidR="00000000" w:rsidDel="00000000" w:rsidP="00000000" w:rsidRDefault="00000000" w:rsidRPr="00000000" w14:paraId="00000009">
                  <w:pPr>
                    <w:numPr>
                      <w:ilvl w:val="0"/>
                      <w:numId w:val="2"/>
                    </w:numPr>
                    <w:spacing w:after="0" w:line="240" w:lineRule="auto"/>
                    <w:ind w:left="301" w:hanging="360"/>
                    <w:rPr>
                      <w:color w:val="333333"/>
                      <w:sz w:val="16"/>
                      <w:szCs w:val="16"/>
                    </w:rPr>
                  </w:pPr>
                  <w:r w:rsidDel="00000000" w:rsidR="00000000" w:rsidRPr="00000000">
                    <w:rPr>
                      <w:rtl w:val="0"/>
                    </w:rPr>
                    <w:t xml:space="preserve">This 2023 Annual Report to the School Community has been tabled and endorsed at a meeting of the school council and will be publicly shared with the school community</w:t>
                  </w: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0A">
                  <w:pPr>
                    <w:spacing w:after="0" w:before="240" w:line="240" w:lineRule="auto"/>
                    <w:rPr/>
                  </w:pPr>
                  <w:r w:rsidDel="00000000" w:rsidR="00000000" w:rsidRPr="00000000">
                    <w:rPr>
                      <w:rtl w:val="0"/>
                    </w:rPr>
                    <w:t xml:space="preserve">To be attested by School Council President</w:t>
                  </w:r>
                </w:p>
              </w:tc>
            </w:tr>
          </w:tbl>
          <w:p w:rsidR="00000000" w:rsidDel="00000000" w:rsidP="00000000" w:rsidRDefault="00000000" w:rsidRPr="00000000" w14:paraId="0000000B">
            <w:pPr>
              <w:ind w:right="419"/>
              <w:rPr>
                <w:color w:val="595959"/>
              </w:rPr>
            </w:pPr>
            <w:r w:rsidDel="00000000" w:rsidR="00000000" w:rsidRPr="00000000">
              <w:rPr>
                <w:rtl w:val="0"/>
              </w:rPr>
            </w:r>
          </w:p>
        </w:tc>
      </w:tr>
    </w:tbl>
    <w:p w:rsidR="00000000" w:rsidDel="00000000" w:rsidP="00000000" w:rsidRDefault="00000000" w:rsidRPr="00000000" w14:paraId="0000000C">
      <w:pPr>
        <w:ind w:right="419"/>
        <w:rPr>
          <w:sz w:val="36"/>
          <w:szCs w:val="36"/>
        </w:rPr>
      </w:pPr>
      <w:r w:rsidDel="00000000" w:rsidR="00000000" w:rsidRPr="00000000">
        <w:rPr>
          <w:sz w:val="36"/>
          <w:szCs w:val="36"/>
          <w:rtl w:val="0"/>
        </w:rPr>
        <w:t xml:space="preserve">School Name: North Geelong Secondary College (7856)</w:t>
      </w:r>
    </w:p>
    <w:p w:rsidR="00000000" w:rsidDel="00000000" w:rsidP="00000000" w:rsidRDefault="00000000" w:rsidRPr="00000000" w14:paraId="0000000D">
      <w:pPr>
        <w:ind w:right="419"/>
        <w:rPr>
          <w:color w:val="ffffff"/>
          <w:sz w:val="36"/>
          <w:szCs w:val="36"/>
        </w:rPr>
      </w:pPr>
      <w:r w:rsidDel="00000000" w:rsidR="00000000" w:rsidRPr="00000000">
        <w:rPr>
          <w:rtl w:val="0"/>
        </w:rPr>
      </w:r>
    </w:p>
    <w:p w:rsidR="00000000" w:rsidDel="00000000" w:rsidP="00000000" w:rsidRDefault="00000000" w:rsidRPr="00000000" w14:paraId="0000000E">
      <w:pPr>
        <w:ind w:left="540" w:right="419" w:firstLine="0"/>
        <w:rPr>
          <w:color w:val="595959"/>
        </w:rPr>
        <w:sectPr>
          <w:headerReference r:id="rId11" w:type="default"/>
          <w:headerReference r:id="rId12" w:type="first"/>
          <w:headerReference r:id="rId13" w:type="even"/>
          <w:footerReference r:id="rId14" w:type="default"/>
          <w:footerReference r:id="rId15" w:type="even"/>
          <w:pgSz w:h="16838" w:w="11906" w:orient="portrait"/>
          <w:pgMar w:bottom="1701" w:top="2914" w:left="425" w:right="1134" w:header="227" w:footer="709"/>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af272f"/>
          <w:sz w:val="36"/>
          <w:szCs w:val="36"/>
          <w:u w:val="none"/>
          <w:shd w:fill="auto" w:val="clear"/>
          <w:vertAlign w:val="baseline"/>
        </w:rPr>
      </w:pPr>
      <w:r w:rsidDel="00000000" w:rsidR="00000000" w:rsidRPr="00000000">
        <w:rPr>
          <w:rFonts w:ascii="Arial" w:cs="Arial" w:eastAsia="Arial" w:hAnsi="Arial"/>
          <w:b w:val="0"/>
          <w:i w:val="0"/>
          <w:smallCaps w:val="0"/>
          <w:strike w:val="0"/>
          <w:color w:val="af272f"/>
          <w:sz w:val="36"/>
          <w:szCs w:val="36"/>
          <w:u w:val="none"/>
          <w:shd w:fill="auto" w:val="clear"/>
          <w:vertAlign w:val="baseline"/>
          <w:rtl w:val="0"/>
        </w:rPr>
        <w:t xml:space="preserve">How to read the Annual Report</w:t>
      </w:r>
    </w:p>
    <w:p w:rsidR="00000000" w:rsidDel="00000000" w:rsidP="00000000" w:rsidRDefault="00000000" w:rsidRPr="00000000" w14:paraId="00000010">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What does the </w:t>
      </w:r>
      <w:r w:rsidDel="00000000" w:rsidR="00000000" w:rsidRPr="00000000">
        <w:rPr>
          <w:rFonts w:ascii="Arial" w:cs="Arial" w:eastAsia="Arial" w:hAnsi="Arial"/>
          <w:b w:val="0"/>
          <w:i w:val="1"/>
          <w:smallCaps w:val="0"/>
          <w:strike w:val="0"/>
          <w:color w:val="c00000"/>
          <w:sz w:val="24"/>
          <w:szCs w:val="24"/>
          <w:u w:val="none"/>
          <w:shd w:fill="auto" w:val="clear"/>
          <w:vertAlign w:val="baseline"/>
          <w:rtl w:val="0"/>
        </w:rPr>
        <w:t xml:space="preserve">‘About Our School’</w:t>
      </w: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 commentary section of this report refer 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‘About our school’ commentary provides a brief background on the school and an overview of the school’s performance over the previous calendar year.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‘School Context’ describes the school’s vision, values, and purpose. Details include the school’s geographic location, size and structure, social characteristics, enrolment characteristics, and special programs.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‘Progress towards strategic goals, student outcomes, and student engagement’ section allows schools to reflect on highlights related to implementation of and progress towards the School Strategic Plan and Annual Implementation Plan, and efforts to improve student learning, wellbeing, and engagement.</w:t>
      </w:r>
    </w:p>
    <w:p w:rsidR="00000000" w:rsidDel="00000000" w:rsidP="00000000" w:rsidRDefault="00000000" w:rsidRPr="00000000" w14:paraId="00000014">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What does the </w:t>
      </w:r>
      <w:r w:rsidDel="00000000" w:rsidR="00000000" w:rsidRPr="00000000">
        <w:rPr>
          <w:rFonts w:ascii="Arial" w:cs="Arial" w:eastAsia="Arial" w:hAnsi="Arial"/>
          <w:b w:val="0"/>
          <w:i w:val="1"/>
          <w:smallCaps w:val="0"/>
          <w:strike w:val="0"/>
          <w:color w:val="c00000"/>
          <w:sz w:val="24"/>
          <w:szCs w:val="24"/>
          <w:u w:val="none"/>
          <w:shd w:fill="auto" w:val="clear"/>
          <w:vertAlign w:val="baseline"/>
          <w:rtl w:val="0"/>
        </w:rPr>
        <w:t xml:space="preserve">‘Performance Summary’</w:t>
      </w: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 section of this report refer to?</w:t>
      </w:r>
      <w:r w:rsidDel="00000000" w:rsidR="00000000" w:rsidRPr="00000000">
        <w:rPr>
          <w:rtl w:val="0"/>
        </w:rPr>
      </w:r>
    </w:p>
    <w:p w:rsidR="00000000" w:rsidDel="00000000" w:rsidP="00000000" w:rsidRDefault="00000000" w:rsidRPr="00000000" w14:paraId="00000015">
      <w:pPr>
        <w:spacing w:line="240" w:lineRule="auto"/>
        <w:rPr>
          <w:color w:val="000000"/>
        </w:rPr>
      </w:pPr>
      <w:r w:rsidDel="00000000" w:rsidR="00000000" w:rsidRPr="00000000">
        <w:rPr>
          <w:color w:val="000000"/>
          <w:rtl w:val="0"/>
        </w:rPr>
        <w:t xml:space="preserve">The Performance Summary includes the following:</w:t>
      </w:r>
    </w:p>
    <w:p w:rsidR="00000000" w:rsidDel="00000000" w:rsidP="00000000" w:rsidRDefault="00000000" w:rsidRPr="00000000" w14:paraId="00000016">
      <w:pPr>
        <w:spacing w:line="240" w:lineRule="auto"/>
        <w:ind w:left="720" w:firstLine="0"/>
        <w:rPr>
          <w:b w:val="1"/>
          <w:color w:val="000000"/>
        </w:rPr>
      </w:pPr>
      <w:r w:rsidDel="00000000" w:rsidR="00000000" w:rsidRPr="00000000">
        <w:rPr>
          <w:b w:val="1"/>
          <w:color w:val="000000"/>
          <w:rtl w:val="0"/>
        </w:rPr>
        <w:t xml:space="preserve">School Profile</w:t>
      </w:r>
    </w:p>
    <w:p w:rsidR="00000000" w:rsidDel="00000000" w:rsidP="00000000" w:rsidRDefault="00000000" w:rsidRPr="00000000" w14:paraId="00000017">
      <w:pPr>
        <w:numPr>
          <w:ilvl w:val="0"/>
          <w:numId w:val="4"/>
        </w:numPr>
        <w:spacing w:after="100" w:line="240" w:lineRule="auto"/>
        <w:ind w:left="1434" w:hanging="357"/>
        <w:rPr>
          <w:color w:val="000000"/>
        </w:rPr>
      </w:pPr>
      <w:r w:rsidDel="00000000" w:rsidR="00000000" w:rsidRPr="00000000">
        <w:rPr>
          <w:color w:val="000000"/>
          <w:rtl w:val="0"/>
        </w:rPr>
        <w:t xml:space="preserve">student enrolment information</w:t>
      </w:r>
    </w:p>
    <w:p w:rsidR="00000000" w:rsidDel="00000000" w:rsidP="00000000" w:rsidRDefault="00000000" w:rsidRPr="00000000" w14:paraId="00000018">
      <w:pPr>
        <w:numPr>
          <w:ilvl w:val="0"/>
          <w:numId w:val="4"/>
        </w:numPr>
        <w:spacing w:after="100" w:line="240" w:lineRule="auto"/>
        <w:ind w:left="1434" w:hanging="357"/>
        <w:rPr>
          <w:color w:val="000000"/>
        </w:rPr>
      </w:pPr>
      <w:r w:rsidDel="00000000" w:rsidR="00000000" w:rsidRPr="00000000">
        <w:rPr>
          <w:color w:val="000000"/>
          <w:rtl w:val="0"/>
        </w:rPr>
        <w:t xml:space="preserve">the school’s ‘Student Family Occupation and Education’ category</w:t>
      </w:r>
    </w:p>
    <w:p w:rsidR="00000000" w:rsidDel="00000000" w:rsidP="00000000" w:rsidRDefault="00000000" w:rsidRPr="00000000" w14:paraId="00000019">
      <w:pPr>
        <w:numPr>
          <w:ilvl w:val="0"/>
          <w:numId w:val="4"/>
        </w:numPr>
        <w:spacing w:after="100" w:line="240" w:lineRule="auto"/>
        <w:ind w:left="1434" w:hanging="357"/>
        <w:rPr>
          <w:color w:val="000000"/>
        </w:rPr>
      </w:pPr>
      <w:r w:rsidDel="00000000" w:rsidR="00000000" w:rsidRPr="00000000">
        <w:rPr>
          <w:color w:val="000000"/>
          <w:rtl w:val="0"/>
        </w:rPr>
        <w:t xml:space="preserve">a summary of parent responses in the Parent Opinion Survey, shown against the statewide average for Secondary schools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staff responses in the area of School Climate in the School Staff Survey, shown against the statewide average for Secondary schools</w:t>
      </w:r>
      <w:r w:rsidDel="00000000" w:rsidR="00000000" w:rsidRPr="00000000">
        <w:rPr>
          <w:rtl w:val="0"/>
        </w:rPr>
      </w:r>
    </w:p>
    <w:p w:rsidR="00000000" w:rsidDel="00000000" w:rsidP="00000000" w:rsidRDefault="00000000" w:rsidRPr="00000000" w14:paraId="0000001B">
      <w:pPr>
        <w:spacing w:line="240" w:lineRule="auto"/>
        <w:ind w:left="720" w:firstLine="0"/>
        <w:rPr>
          <w:b w:val="1"/>
          <w:color w:val="000000"/>
        </w:rPr>
      </w:pPr>
      <w:r w:rsidDel="00000000" w:rsidR="00000000" w:rsidRPr="00000000">
        <w:rPr>
          <w:b w:val="1"/>
          <w:color w:val="000000"/>
          <w:rtl w:val="0"/>
        </w:rPr>
        <w:t xml:space="preserve">Learning</w:t>
      </w:r>
    </w:p>
    <w:p w:rsidR="00000000" w:rsidDel="00000000" w:rsidP="00000000" w:rsidRDefault="00000000" w:rsidRPr="00000000" w14:paraId="0000001C">
      <w:pPr>
        <w:numPr>
          <w:ilvl w:val="0"/>
          <w:numId w:val="4"/>
        </w:numPr>
        <w:spacing w:after="100" w:line="240" w:lineRule="auto"/>
        <w:ind w:left="1434" w:hanging="357"/>
        <w:rPr>
          <w:color w:val="000000"/>
        </w:rPr>
      </w:pPr>
      <w:r w:rsidDel="00000000" w:rsidR="00000000" w:rsidRPr="00000000">
        <w:rPr>
          <w:color w:val="000000"/>
          <w:rtl w:val="0"/>
        </w:rPr>
        <w:t xml:space="preserve">English and Mathematics for Teacher Judgements against the curriculum</w:t>
      </w:r>
    </w:p>
    <w:p w:rsidR="00000000" w:rsidDel="00000000" w:rsidP="00000000" w:rsidRDefault="00000000" w:rsidRPr="00000000" w14:paraId="0000001D">
      <w:pPr>
        <w:numPr>
          <w:ilvl w:val="0"/>
          <w:numId w:val="4"/>
        </w:numPr>
        <w:spacing w:after="100" w:line="240" w:lineRule="auto"/>
        <w:ind w:left="1434" w:hanging="357"/>
        <w:rPr>
          <w:color w:val="000000"/>
        </w:rPr>
      </w:pPr>
      <w:r w:rsidDel="00000000" w:rsidR="00000000" w:rsidRPr="00000000">
        <w:rPr>
          <w:color w:val="000000"/>
          <w:rtl w:val="0"/>
        </w:rPr>
        <w:t xml:space="preserve">English and Mathematics for National Literacy and Numeracy tests (NAPLAN)</w:t>
      </w:r>
    </w:p>
    <w:p w:rsidR="00000000" w:rsidDel="00000000" w:rsidP="00000000" w:rsidRDefault="00000000" w:rsidRPr="00000000" w14:paraId="0000001E">
      <w:pPr>
        <w:numPr>
          <w:ilvl w:val="0"/>
          <w:numId w:val="4"/>
        </w:numPr>
        <w:spacing w:line="240" w:lineRule="auto"/>
        <w:ind w:left="1440" w:hanging="360"/>
        <w:rPr>
          <w:color w:val="000000"/>
        </w:rPr>
      </w:pPr>
      <w:r w:rsidDel="00000000" w:rsidR="00000000" w:rsidRPr="00000000">
        <w:rPr>
          <w:color w:val="000000"/>
          <w:rtl w:val="0"/>
        </w:rPr>
        <w:t xml:space="preserve">Senior Secondary completions and mean study score</w:t>
      </w:r>
    </w:p>
    <w:p w:rsidR="00000000" w:rsidDel="00000000" w:rsidP="00000000" w:rsidRDefault="00000000" w:rsidRPr="00000000" w14:paraId="0000001F">
      <w:pPr>
        <w:spacing w:line="240" w:lineRule="auto"/>
        <w:ind w:left="720" w:firstLine="0"/>
        <w:rPr>
          <w:b w:val="1"/>
          <w:color w:val="000000"/>
        </w:rPr>
      </w:pPr>
      <w:r w:rsidDel="00000000" w:rsidR="00000000" w:rsidRPr="00000000">
        <w:rPr>
          <w:b w:val="1"/>
          <w:color w:val="000000"/>
          <w:rtl w:val="0"/>
        </w:rPr>
        <w:t xml:space="preserve">Wellbeing</w:t>
      </w:r>
    </w:p>
    <w:p w:rsidR="00000000" w:rsidDel="00000000" w:rsidP="00000000" w:rsidRDefault="00000000" w:rsidRPr="00000000" w14:paraId="00000020">
      <w:pPr>
        <w:spacing w:line="240" w:lineRule="auto"/>
        <w:ind w:left="720" w:firstLine="0"/>
        <w:rPr>
          <w:color w:val="000000"/>
        </w:rPr>
      </w:pPr>
      <w:r w:rsidDel="00000000" w:rsidR="00000000" w:rsidRPr="00000000">
        <w:rPr>
          <w:color w:val="000000"/>
          <w:rtl w:val="0"/>
        </w:rPr>
        <w:t xml:space="preserve">Student responses to two areas in the Student Attitudes to School Survey:</w:t>
      </w:r>
    </w:p>
    <w:p w:rsidR="00000000" w:rsidDel="00000000" w:rsidP="00000000" w:rsidRDefault="00000000" w:rsidRPr="00000000" w14:paraId="00000021">
      <w:pPr>
        <w:numPr>
          <w:ilvl w:val="0"/>
          <w:numId w:val="4"/>
        </w:numPr>
        <w:spacing w:after="100" w:line="240" w:lineRule="auto"/>
        <w:ind w:left="1434" w:hanging="357"/>
        <w:rPr>
          <w:color w:val="000000"/>
        </w:rPr>
      </w:pPr>
      <w:r w:rsidDel="00000000" w:rsidR="00000000" w:rsidRPr="00000000">
        <w:rPr>
          <w:color w:val="000000"/>
          <w:rtl w:val="0"/>
        </w:rPr>
        <w:t xml:space="preserve">Sense of Connectedness</w:t>
      </w:r>
    </w:p>
    <w:p w:rsidR="00000000" w:rsidDel="00000000" w:rsidP="00000000" w:rsidRDefault="00000000" w:rsidRPr="00000000" w14:paraId="00000022">
      <w:pPr>
        <w:numPr>
          <w:ilvl w:val="0"/>
          <w:numId w:val="4"/>
        </w:numPr>
        <w:spacing w:line="240" w:lineRule="auto"/>
        <w:ind w:left="1440" w:hanging="360"/>
        <w:rPr>
          <w:color w:val="000000"/>
        </w:rPr>
      </w:pPr>
      <w:r w:rsidDel="00000000" w:rsidR="00000000" w:rsidRPr="00000000">
        <w:rPr>
          <w:color w:val="000000"/>
          <w:rtl w:val="0"/>
        </w:rPr>
        <w:t xml:space="preserve">Management of Bullying</w:t>
      </w:r>
    </w:p>
    <w:p w:rsidR="00000000" w:rsidDel="00000000" w:rsidP="00000000" w:rsidRDefault="00000000" w:rsidRPr="00000000" w14:paraId="00000023">
      <w:pPr>
        <w:spacing w:line="240" w:lineRule="auto"/>
        <w:ind w:left="720" w:firstLine="0"/>
        <w:rPr>
          <w:b w:val="1"/>
          <w:color w:val="000000"/>
        </w:rPr>
      </w:pPr>
      <w:r w:rsidDel="00000000" w:rsidR="00000000" w:rsidRPr="00000000">
        <w:rPr>
          <w:b w:val="1"/>
          <w:color w:val="000000"/>
          <w:rtl w:val="0"/>
        </w:rPr>
        <w:t xml:space="preserve">Engagement </w:t>
      </w:r>
    </w:p>
    <w:p w:rsidR="00000000" w:rsidDel="00000000" w:rsidP="00000000" w:rsidRDefault="00000000" w:rsidRPr="00000000" w14:paraId="00000024">
      <w:pPr>
        <w:spacing w:line="240" w:lineRule="auto"/>
        <w:ind w:left="720" w:firstLine="0"/>
        <w:rPr>
          <w:color w:val="000000"/>
        </w:rPr>
      </w:pPr>
      <w:r w:rsidDel="00000000" w:rsidR="00000000" w:rsidRPr="00000000">
        <w:rPr>
          <w:color w:val="000000"/>
          <w:rtl w:val="0"/>
        </w:rPr>
        <w:t xml:space="preserve">Student attendance and engagement at school, including:</w:t>
      </w:r>
    </w:p>
    <w:p w:rsidR="00000000" w:rsidDel="00000000" w:rsidP="00000000" w:rsidRDefault="00000000" w:rsidRPr="00000000" w14:paraId="00000025">
      <w:pPr>
        <w:numPr>
          <w:ilvl w:val="0"/>
          <w:numId w:val="4"/>
        </w:numPr>
        <w:spacing w:after="100" w:line="240" w:lineRule="auto"/>
        <w:ind w:left="1434" w:hanging="357"/>
        <w:rPr>
          <w:color w:val="000000"/>
        </w:rPr>
      </w:pPr>
      <w:r w:rsidDel="00000000" w:rsidR="00000000" w:rsidRPr="00000000">
        <w:rPr>
          <w:color w:val="000000"/>
          <w:rtl w:val="0"/>
        </w:rPr>
        <w:t xml:space="preserve">how many Year 7 students remain at the school through to Year 10</w:t>
      </w:r>
    </w:p>
    <w:p w:rsidR="00000000" w:rsidDel="00000000" w:rsidP="00000000" w:rsidRDefault="00000000" w:rsidRPr="00000000" w14:paraId="00000026">
      <w:pPr>
        <w:numPr>
          <w:ilvl w:val="0"/>
          <w:numId w:val="4"/>
        </w:numPr>
        <w:spacing w:line="240" w:lineRule="auto"/>
        <w:ind w:left="1440" w:hanging="360"/>
        <w:rPr>
          <w:color w:val="000000"/>
        </w:rPr>
      </w:pPr>
      <w:r w:rsidDel="00000000" w:rsidR="00000000" w:rsidRPr="00000000">
        <w:rPr>
          <w:color w:val="000000"/>
          <w:rtl w:val="0"/>
        </w:rPr>
        <w:t xml:space="preserve">how many exiting students go on to further studies or full-time work</w:t>
      </w:r>
    </w:p>
    <w:p w:rsidR="00000000" w:rsidDel="00000000" w:rsidP="00000000" w:rsidRDefault="00000000" w:rsidRPr="00000000" w14:paraId="00000027">
      <w:pPr>
        <w:numPr>
          <w:ilvl w:val="0"/>
          <w:numId w:val="4"/>
        </w:numPr>
        <w:spacing w:line="240" w:lineRule="auto"/>
        <w:ind w:left="1440" w:hanging="360"/>
        <w:rPr>
          <w:color w:val="000000"/>
        </w:rPr>
      </w:pPr>
      <w:r w:rsidDel="00000000" w:rsidR="00000000" w:rsidRPr="00000000">
        <w:rPr>
          <w:color w:val="000000"/>
          <w:rtl w:val="0"/>
        </w:rPr>
        <w:t xml:space="preserve">Student attendance at school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Results are displayed for the latest year and the average of the last four years (where available).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Key terms used in the Performance Summary are defined below: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Similar Schools</w:t>
      </w:r>
    </w:p>
    <w:p w:rsidR="00000000" w:rsidDel="00000000" w:rsidP="00000000" w:rsidRDefault="00000000" w:rsidRPr="00000000" w14:paraId="0000002B">
      <w:pPr>
        <w:spacing w:line="240" w:lineRule="auto"/>
        <w:rPr>
          <w:color w:val="000000"/>
        </w:rPr>
      </w:pPr>
      <w:r w:rsidDel="00000000" w:rsidR="00000000" w:rsidRPr="00000000">
        <w:rPr>
          <w:color w:val="000000"/>
          <w:rtl w:val="0"/>
        </w:rPr>
        <w:t xml:space="preserve">Similar Schools are a group of Victorian government schools with similar characteristics to the school.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grouping of schools has been created by comparing each school’s socio-economic background of students, the number of non-English speaking students and the school’s size and location.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NDP and NDA</w:t>
      </w:r>
    </w:p>
    <w:p w:rsidR="00000000" w:rsidDel="00000000" w:rsidP="00000000" w:rsidRDefault="00000000" w:rsidRPr="00000000" w14:paraId="0000002E">
      <w:pPr>
        <w:spacing w:line="240" w:lineRule="auto"/>
        <w:rPr>
          <w:color w:val="000000"/>
        </w:rPr>
      </w:pPr>
      <w:r w:rsidDel="00000000" w:rsidR="00000000" w:rsidRPr="00000000">
        <w:rPr>
          <w:color w:val="000000"/>
          <w:rtl w:val="0"/>
        </w:rPr>
        <w:t xml:space="preserve">NDP’ refers to no data being published for privacy reasons or where there are insufficient underlying data. For example, very low numbers of participants or characteristics that may lead to identification will result in an ‘NDP’ label.</w:t>
      </w:r>
    </w:p>
    <w:p w:rsidR="00000000" w:rsidDel="00000000" w:rsidP="00000000" w:rsidRDefault="00000000" w:rsidRPr="00000000" w14:paraId="0000002F">
      <w:pPr>
        <w:spacing w:line="240" w:lineRule="auto"/>
        <w:rPr>
          <w:color w:val="000000"/>
        </w:rPr>
      </w:pPr>
      <w:r w:rsidDel="00000000" w:rsidR="00000000" w:rsidRPr="00000000">
        <w:rPr>
          <w:color w:val="000000"/>
          <w:rtl w:val="0"/>
        </w:rPr>
        <w:t xml:space="preserve">‘NDA’ refers to no data being available. Some schools have no data for particular measures due to low enrolments. There may be no students enrolled in some year levels, so school comparisons are not possible.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that new schools only have the latest year of data and no comparative data from previous years. The department also recognises unique circumstances in Specialist, Select Entry, English Language, Community Schools and schools that changed school type recently, where school-to-school comparisons are not appropriate.</w:t>
      </w:r>
    </w:p>
    <w:p w:rsidR="00000000" w:rsidDel="00000000" w:rsidP="00000000" w:rsidRDefault="00000000" w:rsidRPr="00000000" w14:paraId="00000031">
      <w:pPr>
        <w:spacing w:after="0" w:line="240"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line="240" w:lineRule="auto"/>
        <w:rPr>
          <w:b w:val="1"/>
          <w:color w:val="000000"/>
        </w:rPr>
      </w:pPr>
      <w:r w:rsidDel="00000000" w:rsidR="00000000" w:rsidRPr="00000000">
        <w:rPr>
          <w:b w:val="1"/>
          <w:color w:val="000000"/>
          <w:rtl w:val="0"/>
        </w:rPr>
        <w:t xml:space="preserve">The Victorian Curriculum</w:t>
      </w:r>
    </w:p>
    <w:p w:rsidR="00000000" w:rsidDel="00000000" w:rsidP="00000000" w:rsidRDefault="00000000" w:rsidRPr="00000000" w14:paraId="00000033">
      <w:pPr>
        <w:spacing w:line="240" w:lineRule="auto"/>
        <w:rPr>
          <w:color w:val="000000"/>
        </w:rPr>
      </w:pPr>
      <w:r w:rsidDel="00000000" w:rsidR="00000000" w:rsidRPr="00000000">
        <w:rPr>
          <w:color w:val="000000"/>
          <w:rtl w:val="0"/>
        </w:rPr>
        <w:t xml:space="preserve">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000000" w:rsidDel="00000000" w:rsidP="00000000" w:rsidRDefault="00000000" w:rsidRPr="00000000" w14:paraId="00000034">
      <w:pPr>
        <w:spacing w:line="240" w:lineRule="auto"/>
        <w:rPr>
          <w:color w:val="000000"/>
        </w:rPr>
      </w:pPr>
      <w:r w:rsidDel="00000000" w:rsidR="00000000" w:rsidRPr="00000000">
        <w:rPr>
          <w:color w:val="000000"/>
          <w:rtl w:val="0"/>
        </w:rPr>
        <w:t xml:space="preserve">The Victorian Curriculum is assessed through teacher judgements of student achievement based on classroom learning.</w:t>
      </w:r>
    </w:p>
    <w:p w:rsidR="00000000" w:rsidDel="00000000" w:rsidP="00000000" w:rsidRDefault="00000000" w:rsidRPr="00000000" w14:paraId="00000035">
      <w:pPr>
        <w:spacing w:line="240" w:lineRule="auto"/>
        <w:rPr/>
      </w:pPr>
      <w:r w:rsidDel="00000000" w:rsidR="00000000" w:rsidRPr="00000000">
        <w:rPr>
          <w:color w:val="000000"/>
          <w:rtl w:val="0"/>
        </w:rPr>
        <w:t xml:space="preserve">The curriculum has been developed to ensure that school subjects and their achievement standards enable continuous learning for all students, including students with disabilities.</w:t>
      </w:r>
      <w:r w:rsidDel="00000000" w:rsidR="00000000" w:rsidRPr="00000000">
        <w:rPr>
          <w:rtl w:val="0"/>
        </w:rPr>
      </w:r>
    </w:p>
    <w:p w:rsidR="00000000" w:rsidDel="00000000" w:rsidP="00000000" w:rsidRDefault="00000000" w:rsidRPr="00000000" w14:paraId="00000036">
      <w:pPr>
        <w:spacing w:line="240" w:lineRule="auto"/>
        <w:rPr>
          <w:color w:val="000000"/>
        </w:rPr>
      </w:pPr>
      <w:r w:rsidDel="00000000" w:rsidR="00000000" w:rsidRPr="00000000">
        <w:rPr>
          <w:color w:val="000000"/>
          <w:rtl w:val="0"/>
        </w:rPr>
        <w:t xml:space="preserve">The ‘Towards Foundation Level Victorian Curriculum’ is integrated directly into the curriculum and is referred to as ‘Levels A to D’.</w:t>
      </w:r>
    </w:p>
    <w:p w:rsidR="00000000" w:rsidDel="00000000" w:rsidP="00000000" w:rsidRDefault="00000000" w:rsidRPr="00000000" w14:paraId="00000037">
      <w:pPr>
        <w:spacing w:line="240" w:lineRule="auto"/>
        <w:rPr>
          <w:color w:val="000000"/>
        </w:rPr>
      </w:pPr>
      <w:r w:rsidDel="00000000" w:rsidR="00000000" w:rsidRPr="00000000">
        <w:rPr>
          <w:color w:val="000000"/>
          <w:rtl w:val="0"/>
        </w:rPr>
        <w:t xml:space="preserve">‘Levels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000000" w:rsidDel="00000000" w:rsidP="00000000" w:rsidRDefault="00000000" w:rsidRPr="00000000" w14:paraId="00000038">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Updates to the ‘</w:t>
      </w:r>
      <w:r w:rsidDel="00000000" w:rsidR="00000000" w:rsidRPr="00000000">
        <w:rPr>
          <w:rFonts w:ascii="Arial" w:cs="Arial" w:eastAsia="Arial" w:hAnsi="Arial"/>
          <w:b w:val="0"/>
          <w:i w:val="1"/>
          <w:smallCaps w:val="0"/>
          <w:strike w:val="0"/>
          <w:color w:val="c00000"/>
          <w:sz w:val="24"/>
          <w:szCs w:val="24"/>
          <w:u w:val="none"/>
          <w:shd w:fill="auto" w:val="clear"/>
          <w:vertAlign w:val="baseline"/>
          <w:rtl w:val="0"/>
        </w:rPr>
        <w:t xml:space="preserve">Performance Summary’</w:t>
      </w: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 in the 2023 Annual Report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Reporting on the following measures has been updated in the 2023 Annual Report to align with changes to departmental and public reporting products.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NAPLAN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br w:type="textWrapping"/>
        <w:t xml:space="preserve">In 2023 NAPLAN was updated to report against proficiency standards. For further information on the changes to NAPLAN reporting in 2023, please refer to the National Assessment Program ‘</w:t>
      </w:r>
      <w:hyperlink r:id="rId1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Results and Reports</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page.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line with these changes, the NAPLAN section of the Performance Summary includes data on both 2022 and 2023 NAPLAN results. Please note that results from 2022 and 2023 are not comparable.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2023 NAPLAN section reports on the percentage of students in the Strong or Exceeding proficiency levels. The 2022 NAPLAN section reports on the percentage of students in the top three bands.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Parent/Caregiver/Guardian Opinion Survey, School Staff Survey and the Attitudes to School Survey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Victorian Senior Secondary Certificate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Victorian Senior Secondary Certificate section has been revised to include the newly introduced VCE Vocational Major (VM) and the Victorian Pathways Certificate (VPC). This section reports on the Victorian Senior Secondary Certificate completion rate, which includes VCE and VCE VM students at the School, Similar School, and State level. Additionally, two new measures will report the number of students that were awarded either the VCE Vocational Major or the Victorian Pathways Certificate.</w:t>
      </w:r>
    </w:p>
    <w:p w:rsidR="00000000" w:rsidDel="00000000" w:rsidP="00000000" w:rsidRDefault="00000000" w:rsidRPr="00000000" w14:paraId="00000043">
      <w:pPr>
        <w:spacing w:line="240" w:lineRule="auto"/>
        <w:rPr/>
        <w:sectPr>
          <w:headerReference r:id="rId17" w:type="default"/>
          <w:headerReference r:id="rId18" w:type="first"/>
          <w:footerReference r:id="rId19" w:type="default"/>
          <w:type w:val="nextPage"/>
          <w:pgSz w:h="16838" w:w="11906" w:orient="portrait"/>
          <w:pgMar w:bottom="709" w:top="1276" w:left="567" w:right="567" w:header="142" w:footer="325"/>
        </w:sectPr>
      </w:pPr>
      <w:r w:rsidDel="00000000" w:rsidR="00000000" w:rsidRPr="00000000">
        <w:br w:type="page"/>
      </w:r>
      <w:r w:rsidDel="00000000" w:rsidR="00000000" w:rsidRPr="00000000">
        <w:rPr>
          <w:rtl w:val="0"/>
        </w:rPr>
      </w:r>
    </w:p>
    <w:p w:rsidR="00000000" w:rsidDel="00000000" w:rsidP="00000000" w:rsidRDefault="00000000" w:rsidRPr="00000000" w14:paraId="00000044">
      <w:pPr>
        <w:ind w:left="-567" w:right="-632" w:firstLine="0"/>
        <w:rPr>
          <w:b w:val="1"/>
          <w:color w:val="af272f"/>
          <w:sz w:val="32"/>
          <w:szCs w:val="32"/>
        </w:rPr>
      </w:pPr>
      <w:r w:rsidDel="00000000" w:rsidR="00000000" w:rsidRPr="00000000">
        <w:rPr>
          <w:b w:val="1"/>
          <w:color w:val="af272f"/>
          <w:sz w:val="36"/>
          <w:szCs w:val="36"/>
          <w:rtl w:val="0"/>
        </w:rPr>
        <w:t xml:space="preserve">About Our School</w:t>
      </w:r>
      <w:r w:rsidDel="00000000" w:rsidR="00000000" w:rsidRPr="00000000">
        <w:rPr>
          <w:rtl w:val="0"/>
        </w:rPr>
      </w:r>
    </w:p>
    <w:tbl>
      <w:tblPr>
        <w:tblStyle w:val="Table3"/>
        <w:tblW w:w="10774.0" w:type="dxa"/>
        <w:jc w:val="left"/>
        <w:tblInd w:w="-7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74"/>
        <w:tblGridChange w:id="0">
          <w:tblGrid>
            <w:gridCol w:w="10774"/>
          </w:tblGrid>
        </w:tblGridChange>
      </w:tblGrid>
      <w:tr>
        <w:trPr>
          <w:cantSplit w:val="0"/>
          <w:trHeight w:val="15" w:hRule="atLeast"/>
          <w:tblHeader w:val="0"/>
        </w:trPr>
        <w:tc>
          <w:tcPr>
            <w:shd w:fill="auto" w:val="clear"/>
          </w:tcPr>
          <w:p w:rsidR="00000000" w:rsidDel="00000000" w:rsidP="00000000" w:rsidRDefault="00000000" w:rsidRPr="00000000" w14:paraId="00000045">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School context</w:t>
            </w:r>
          </w:p>
        </w:tc>
      </w:tr>
      <w:tr>
        <w:trPr>
          <w:cantSplit w:val="0"/>
          <w:trHeight w:val="15" w:hRule="atLeast"/>
          <w:tblHeader w:val="0"/>
        </w:trPr>
        <w:tc>
          <w:tcPr>
            <w:shd w:fill="auto" w:val="clear"/>
          </w:tcPr>
          <w:p w:rsidR="00000000" w:rsidDel="00000000" w:rsidP="00000000" w:rsidRDefault="00000000" w:rsidRPr="00000000" w14:paraId="00000046">
            <w:pPr>
              <w:pStyle w:val="Heading3"/>
              <w:spacing w:after="0" w:before="0" w:lineRule="auto"/>
              <w:rPr>
                <w:b w:val="0"/>
                <w:color w:val="000000"/>
                <w:sz w:val="18"/>
                <w:szCs w:val="18"/>
              </w:rPr>
            </w:pPr>
            <w:r w:rsidDel="00000000" w:rsidR="00000000" w:rsidRPr="00000000">
              <w:rPr>
                <w:b w:val="0"/>
                <w:color w:val="000000"/>
                <w:sz w:val="18"/>
                <w:szCs w:val="18"/>
                <w:rtl w:val="0"/>
              </w:rPr>
              <w:t xml:space="preserve">North Geelong Secondary College (NGSC) is a single campus, academic Year 7–12 College. It is a creative, caring and diverse College, where students grow into autonomous learners by engaging in our imaginative and intellectually rigorous programs. Our students develop into mature and independent individuals, fully prepared for a life of meaningful achievement and active participation in our local and global community. The school values "Respect, Excellence, Achievement and Diversity" (READ) are the bedrock of all school activities and are continuously promoted on the broader school community. The school has successfully implemented School Wide Positive Behaviors (SWPBS) and Respectful Relationships, which complement these values. Most student enrolment is drawn from the northern and western suburbs of Geelong. The school's zone is minimal with less than</w:t>
              <w:br w:type="textWrapping"/>
              <w:t xml:space="preserve">200 high school age students, therefore, 83% of the students come from outside the very limited school zone, classifying NGSC as</w:t>
              <w:br w:type="textWrapping"/>
              <w:t xml:space="preserve">'a school of choice'. The school provides for a culturally diverse community.  The school enrolment in 2023 was 989 SRP-funded students and 22 international students. 22% of students had English as an</w:t>
              <w:br w:type="textWrapping"/>
              <w:t xml:space="preserve">Additional Language (EAL), and 33.7% were from a LBOTE background, including 8% of students from a refugee background. The ATSI enrolment was 3%. The school’s socio-educational band (SFOE) is High which means high level of socio-educational disadvantage. NGSC provides an English as Additional Language (EAL) program (withdrawal EAL program) from Year 7 to Year 12, which includes an MEA (Multicultural Education Aides) program for ongoing classroom support to EAL and refugee background students in the mainstream classes. The College is a campus for the Geelong English Language Centre (GELC) open to</w:t>
              <w:br w:type="textWrapping"/>
              <w:t xml:space="preserve">students from all other secondary schools in Geelong. The College receives Equity/Disadvantage funding which provides an enhanced focus on Teaching &amp; Learning; in particular Literacy, Numeracy intervention programs, integration of ICT across the curriculum, building Teacher and Leadership Capacity, Homework and Tutorial programs, a well-resourced Well-being Team including; 2.6 x Social Workers, 0.6 x ES Wellbeing Assistant, 1 x Sick Bay Officer, 0.4 School Nurse, 0.4 School Chaplain and 0.8 Mental Health Practitioner. The equity funding enables the school to implement Literacy and Numeracy intervention programs such as: STAR and ACE Literacy and Numeracy programs. The Strive To Achieve Results (STAR) Program is an innovative, intervention Literacy and Numeracy program addressing the learning gaps of students in Years 7 to 8 who are performing at level, and have potential to perform above expected levels. The ACE (Achieving Core Education) Literacy &amp; Numeracy intervention Program is for students in Years 7 to 8, who perform well below expected levels; ACE Tutors are employed and work with the students eligible for the ACE program. The school implements a Year 7 low class size (average of 22 students per class); small VCE classes such as Physics, Specialist Mathematics, Accounting, English Literature. The school maintains a three sub-school system (Junior, Middle</w:t>
              <w:br w:type="textWrapping"/>
              <w:t xml:space="preserve">and Senior), including a Leading Teacher and an ES Attendance Officer/Sub-school Assistant for each sub-school. An Assistant Principal oversees each sub-school. The school implements the DET MYLNS Literacy and Numeracy and Victorian High Achievers Student Excellence (VHAPL) programs. In 2023 the school focused on improving the Literacy and Numeracy of the students in the areas of Reading, Writing and Numeracy. In 2023, the school continued to provide the</w:t>
              <w:br w:type="textWrapping"/>
              <w:t xml:space="preserve">following specialist programs: Chromebook Program Years 7 to 9; and BYOD (Apple device/ Google Chromebooks) for Years 10 to 12; The Select Entry Accelerated Learning Program (SEAL) addresses the needs of high performing students; the Scholarship Program recognizes the considerable achievements of children in our community and provides them with the opportunity to experience exciting curriculum opportunities at NGSC, e-Learning and STEM; Nao Robot, Robotics, Drones, Makeblock STEAM education kits, Arduino Project Kits, 3-D printers, resin printer, 'Spheros' and iLeaders programs; Excellence in Sports Program (Soccer/Football/Volleyball); The school provides a Homework Club and the Library is available to students from 8.30 am to 4.30 pm; an extensive Performing Arts and Instrumental Music Program, and Student Leadership Program. The VCE/Vocational Major Program integrated Work Related Skills and Personal Development addressing the needs of VCAL kinesthetic students whilst still allowing students to experience the VCE subjects. The NGSC International Student Program continued in 2023 and there has been a sharp increase in enrolments with numbers heading back up to pre Covid levels. The school continues to provide a full time Breakfast Club, for approximately 150 to 170 students in attendance daily.</w:t>
              <w:br w:type="textWrapping"/>
              <w:t xml:space="preserve">The percentage of parents who endorsed their school satisfaction level, as reported in the annual Parent Opinion survey for Parent Satisfaction, was 78.4%, which was above the state average of 73.1%. The percentage of staff who endorsed their school climate level, as reported in the annual Staff Opinion survey, was 64.9%, which was way above the state average of 57.2%.</w:t>
              <w:br w:type="textWrapping"/>
              <w:t xml:space="preserve">NGSC prides itself on continuing to address student individual needs. We place the student at the centre of everything we do (Curriculum, Extracurricular activities, Engagement and well-being, Values Education, Student Leadership, Student Agency). We make it a priority to work with our parents to guide our students in the right direction.</w:t>
              <w:br w:type="textWrapping"/>
            </w:r>
          </w:p>
          <w:p w:rsidR="00000000" w:rsidDel="00000000" w:rsidP="00000000" w:rsidRDefault="00000000" w:rsidRPr="00000000" w14:paraId="00000047">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8">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Progress towards strategic goals, student outcomes and student engagement</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9">
            <w:pPr>
              <w:pStyle w:val="Heading3"/>
              <w:spacing w:after="0" w:before="0" w:lineRule="auto"/>
              <w:rPr>
                <w:b w:val="0"/>
              </w:rPr>
            </w:pPr>
            <w:r w:rsidDel="00000000" w:rsidR="00000000" w:rsidRPr="00000000">
              <w:rPr>
                <w:color w:val="c00000"/>
                <w:rtl w:val="0"/>
              </w:rPr>
              <w:t xml:space="preserve">Learning</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A">
            <w:pPr>
              <w:pStyle w:val="Heading3"/>
              <w:spacing w:after="0" w:before="0" w:lineRule="auto"/>
              <w:rPr>
                <w:b w:val="0"/>
                <w:color w:val="000000"/>
                <w:sz w:val="18"/>
                <w:szCs w:val="18"/>
              </w:rPr>
            </w:pPr>
            <w:r w:rsidDel="00000000" w:rsidR="00000000" w:rsidRPr="00000000">
              <w:rPr>
                <w:b w:val="0"/>
                <w:color w:val="000000"/>
                <w:sz w:val="18"/>
                <w:szCs w:val="18"/>
                <w:rtl w:val="0"/>
              </w:rPr>
              <w:t xml:space="preserve">North Geelong Secondary College School Strategic Plan (2021 – 2024 SSP) and 2023 Annual Implementation Plan (AIP) focused on Teaching &amp; Learning, aiming to improve student outcomes. The Tutor Learning Initiative (TLI) continued to be implemented in 2023 and expanded our A.C.E. and S.T.A.R. programs. The teacher judgments of student achievement at or above age-expected standards in English and Mathematics were lower than the state mean and below similar schools' mean. The English and Mathematics KLA Leaders, their staff, the curriculum, and leadership teams continue to focus on implementing consistent strategies in student assessment. The moderation of Year 7 to 10 student work remained the focus to ensure consistency with evaluation. Work has been done on Professional Learning, and curriculum time has been implemented to extend students' incluing the S.E.A.L. program.  Reading and comprehension will be a focus in PLC across the college.  There has been an expansion of extra Learning Specialists to support teachers in Teaching and Learning.  </w:t>
              <w:br w:type="textWrapping"/>
              <w:t xml:space="preserve">The staff focuses on implementing the NGSC consistent instructional model (Hattie's Visible Learning and Gradual Release), including HITS and a consistent and documented curriculum across all 7 to 10 curriculum areas.  Ensure that Learning Tasks are on Compass with due dates to keep parents and students informed. Our E.I.S. Volleyball, Soccer and Football program includes elite coaches Tom Lonergan (Premiership Geelong player, former Geelong Falcons Manager and current Carlton Assistant Coach, Steve Lustica (Western United player) and Rob Struabe, who is a State Volleyball coach and local Geelong Volleyball legend.  Our E.I.S. program is designed to complement our student learning and ensure we cover all aspects of the Victorian Curriculum and meet their Literacy and Numeracy needs. </w:t>
              <w:br w:type="textWrapping"/>
              <w:t xml:space="preserve">NAPLAN tests in 2023:</w:t>
              <w:br w:type="textWrapping"/>
              <w:t xml:space="preserve">Reading: The school Year 7 percentage of students in the top three bands (Reading) was above similar schools and below state schools average. The school Year 9 percentage of students in the top three bands in Reading was well below the state average and well below similar schools.</w:t>
              <w:br w:type="textWrapping"/>
              <w:t xml:space="preserve">Numeracy: The school Year 7 percentage of students in the top three bands (Numeracy) was below similar schools and the state schools average. The school Year 9 percentage of students in the top three bands (Numeracy) was well below the state average and well below similar schools. The school will assess all Year 9 students together and the students will be informed of the importance of Naplan testing.</w:t>
              <w:br w:type="textWrapping"/>
              <w:t xml:space="preserve">The school’s VCE mean study score improved in 2023 and was above similar schools (28.9) above the state average (28). This was the school's best results in VCE. The percentage of students receiving a 40+ VCE study score was maintained at 4.2% up from 3.6% in 2022. 100% of our students satisfactorily completed their VCE. The Victorian Certificate of Applied Learning (VCAL) credits satisfactorily completed was 75%. In 2023 48% of the Year 12 students undertook at least one Vocational Education and Training (VET) unit of competence. The VET units of competence satisfactory completion was 85%.  This was an improvement on the 56% from 2022.</w:t>
              <w:br w:type="textWrapping"/>
              <w:t xml:space="preserve">These VCE results are a testament to the work put in by all teachers at all year levels. Classes for Unit 3-4 students ran up to their exams, allowing students to receive support from their teachers in an environment conducive to learning. It is important to note that these student's 2019 Year 9 Naplan results were not high when they were in Year 9 and reflect the programs and strategies  for all of our students. .</w:t>
            </w:r>
          </w:p>
          <w:p w:rsidR="00000000" w:rsidDel="00000000" w:rsidP="00000000" w:rsidRDefault="00000000" w:rsidRPr="00000000" w14:paraId="0000004B">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C">
            <w:pPr>
              <w:pStyle w:val="Heading3"/>
              <w:spacing w:after="0" w:before="0" w:lineRule="auto"/>
              <w:rPr>
                <w:b w:val="0"/>
              </w:rPr>
            </w:pPr>
            <w:r w:rsidDel="00000000" w:rsidR="00000000" w:rsidRPr="00000000">
              <w:rPr>
                <w:color w:val="c00000"/>
                <w:rtl w:val="0"/>
              </w:rPr>
              <w:t xml:space="preserve">Wellbeing</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D">
            <w:pPr>
              <w:pStyle w:val="Heading3"/>
              <w:spacing w:after="0" w:before="0" w:lineRule="auto"/>
              <w:rPr>
                <w:b w:val="0"/>
                <w:color w:val="000000"/>
                <w:sz w:val="18"/>
                <w:szCs w:val="18"/>
              </w:rPr>
            </w:pPr>
            <w:r w:rsidDel="00000000" w:rsidR="00000000" w:rsidRPr="00000000">
              <w:rPr>
                <w:b w:val="0"/>
                <w:color w:val="000000"/>
                <w:sz w:val="18"/>
                <w:szCs w:val="18"/>
                <w:rtl w:val="0"/>
              </w:rPr>
              <w:t xml:space="preserve">The Student Attitude to Schools data derived from the Year 7 to 12 student survey completed annually, measuring the connectedness to school percentage. The percent endorsement on Sense of Connectedness factor, as reported in the Attitudes to School Survey completed in 2023 was above (49.9%) compared to 46.2% and state average (45.3%). The 4-year average was also well above similar and state means. Similarly, the Students Attitudes to School survey results in 2022 in relation to Management of Bullying were above (51.5%) similar (48.0%) and state (46.6%) means. The 4-year average school percent endorsement (management of bullying Years 7 to 12) is above similar and state means.</w:t>
              <w:br w:type="textWrapping"/>
              <w:t xml:space="preserve">These are good results reflecting the work performed in the area of Berry St., Respectful Relationships, and School-Wide Positive Behaviours Strategy.</w:t>
              <w:br w:type="textWrapping"/>
              <w:t xml:space="preserve">(SWPBS).  The SWPBS has been further developed with dedicated whole school meeting time twice a term and introducing a combined school approach called "improving Classroom Systems". These programs together with the implementation of strategies to improve Student and Learner Agency (Year Level SRC, School Captains, Sports Houses, iLeaders, Be Bold Be Heard) will continue to be consolidated in the school community enhancing the school culture and ethos that all our students belong irrespective of their diverse backgrounds.</w:t>
              <w:br w:type="textWrapping"/>
              <w:t xml:space="preserve">In 2023, the school continued to employ a team of Well-being professionals (2 x1.0 Psychologists/Social Worker, 0.4 x school nurse, 0.4x School Chaplain, 1.0 x Youth Worker, .8 xSSSO support, Doctors in Schools Program, 0.8 Mental Health Practitioner) ensuring the well-being needs of all students were addressed. In addition a 0.4 Catholic Care Counsellor is working with some of our refugee background students and families. In 2022, the Student Well-being Team continued to work closely, during challenging times (Covid-19 aftermath and increase in mental health issues amongst our students) with the well-structured Student Management Teams (Sub-School Leaders, Year Level and Assistant Year Level Coordinators, Home Group Teachers, Sub-School Assistants, North Geelong Secondary College Principal Class Officers) and the families of students deemed to be ‘at risk’. This has maintained, and in some cases improved,</w:t>
              <w:br w:type="textWrapping"/>
              <w:t xml:space="preserve">student engagement and well-being at the school.  In 2023 Positive Green Entries, SSGs, and Communication home all increased leading to enhanced relationships with staff and students.</w:t>
              <w:br w:type="textWrapping"/>
              <w:t xml:space="preserve"> All Students in the Program for Students with a Disability (PSD program) have had Individual Education Plans (IEP) supported by SSGs, demonstrating progress at satisfactory levels in achieving their individual goals.</w:t>
            </w:r>
          </w:p>
          <w:p w:rsidR="00000000" w:rsidDel="00000000" w:rsidP="00000000" w:rsidRDefault="00000000" w:rsidRPr="00000000" w14:paraId="0000004E">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4F">
            <w:pPr>
              <w:pStyle w:val="Heading3"/>
              <w:spacing w:after="0" w:before="0" w:lineRule="auto"/>
              <w:rPr>
                <w:b w:val="0"/>
              </w:rPr>
            </w:pPr>
            <w:r w:rsidDel="00000000" w:rsidR="00000000" w:rsidRPr="00000000">
              <w:rPr>
                <w:color w:val="c00000"/>
                <w:rtl w:val="0"/>
              </w:rPr>
              <w:t xml:space="preserve">Engagement</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50">
            <w:pPr>
              <w:pStyle w:val="Heading3"/>
              <w:spacing w:after="0" w:before="0" w:lineRule="auto"/>
              <w:rPr>
                <w:b w:val="0"/>
                <w:color w:val="000000"/>
                <w:sz w:val="18"/>
                <w:szCs w:val="18"/>
              </w:rPr>
            </w:pPr>
            <w:r w:rsidDel="00000000" w:rsidR="00000000" w:rsidRPr="00000000">
              <w:rPr>
                <w:b w:val="0"/>
                <w:color w:val="000000"/>
                <w:sz w:val="18"/>
                <w:szCs w:val="18"/>
                <w:rtl w:val="0"/>
              </w:rPr>
              <w:t xml:space="preserve">In 2023, the student attendance deteriorated on average by two days per student, well below the state mean, despite the COVID-19 pandemic challenges aftermath. (school's average number of absence days was 19.3 with a 4-year average of 15.5 days; similar schools' average was 28.7, and the state average was 28.4. It shows a trend that attendance has dropped off across the state despite the recovery from the pandemic. The school is concerned by the drop off in attendance and will make a concerted effort to implement strategies to stop this trend.</w:t>
              <w:br w:type="textWrapping"/>
              <w:t xml:space="preserve">In 2023, the school continued to build on its strengths (student wellbeing programs, student voice and agency), ensuring student engagement was prioritised as per the SSP/AIP. This work was aided through the Student Management and well-being structure, which included Junior, Middle and Senior Sub-schools, each supported by an Assistant Principal and headed by a Leading Teacher, working within a team of Year Level Coordinators, Well-being staff: including two Social Workers, a Mental Health Practitioner, Doctors in Schools, a School Nurse, a Chaplain, Sub-School Assistants/Attendance Officers and several external providers such as: The Geelong Project, BCYF/MELI, Emerald Tree Counselling- Mental Health Services, and allied health practitioners linked to individual student's NDIS plans.</w:t>
              <w:br w:type="textWrapping"/>
              <w:t xml:space="preserve">During 2023, the school continued to be focused on vulnerable and at-risk students, in particular, students with high anxiety levels and mental and emotional issues. The school experienced an increase in student mental health incidents and a 20% increase in well-being entries. The student-led "multicultural appreciation club" and"Be Bold Be Heard" (BH) continued to improve student voice and agency. The BBBH is a Community of Practice (COP), led by NGSC, organised and ran many activities/forums to enhance student voice and agency. Students from most of the Geelong secondary schools (including non-government schools) participated in these activities, raising issues and providing solutions for a more engaging school environment for all students, particularly female Middle Years students.</w:t>
              <w:br w:type="textWrapping"/>
              <w:t xml:space="preserve">Part of the Sub-School Assistants’ role is to contact parents/guardians daily and liaise with the Student Managers and Well-being staff regarding students at risk of not attending. All student absences are followed up by the Student Managers or Wellbeing Officers and support is provided to students “at risk”. Last year, it was below similar schools by 2% and the state average by 1.2%. student retention of Year 7 students who remain at the school through to Year 10 </w:t>
              <w:br w:type="textWrapping"/>
              <w:t xml:space="preserve">The percentage of students from Years 10 to 12 going on to further studies or full-time employment (100%) is well above similar schools (89.2%) and also above the state mean (89.5%). The four-year average is above similar schools and the state means. In 2023, the school continued to employ an SBAT Coordinator, working within the Careers/Pathways Team, improving the number of students gaining school-based apprenticeships. The Pathways counselling process implemented at the school (student, parents &amp; careers counsellor working together and parents/carers attending a final counselling meeting/session) encouraged students to choose the right pathway and has contributed to the significant improvement in the subject selection and pathways process.  This has contributed to improved VCE results, with students being counselled into courses that meet their prerequisites and then their interests.  </w:t>
              <w:br w:type="textWrapping"/>
              <w:t xml:space="preserve">In 2023, all students who left the school from Year 10 to 12 have had a pathway to further studies, apprenticeships or sustainable employment.</w:t>
            </w:r>
          </w:p>
          <w:p w:rsidR="00000000" w:rsidDel="00000000" w:rsidP="00000000" w:rsidRDefault="00000000" w:rsidRPr="00000000" w14:paraId="00000051">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52">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Other highlights from the school year</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53">
            <w:pPr>
              <w:pStyle w:val="Heading3"/>
              <w:spacing w:after="0" w:before="0" w:lineRule="auto"/>
              <w:rPr>
                <w:b w:val="0"/>
                <w:color w:val="000000"/>
                <w:sz w:val="18"/>
                <w:szCs w:val="18"/>
              </w:rPr>
            </w:pPr>
            <w:r w:rsidDel="00000000" w:rsidR="00000000" w:rsidRPr="00000000">
              <w:rPr>
                <w:b w:val="0"/>
                <w:color w:val="000000"/>
                <w:sz w:val="18"/>
                <w:szCs w:val="18"/>
                <w:rtl w:val="0"/>
              </w:rPr>
              <w:t xml:space="preserve">Last year, our school achieved its best-ever VCE results. While we are proud of this and the consistent improvement in our academic results over the years, we are conscious of our students being respectful members of the school community. We do this through our curricular and extracurricular opportunities.</w:t>
              <w:br w:type="textWrapping"/>
              <w:t xml:space="preserve">The students continued to participate in Mathematics, Science, and English competitions. Debating continued to be a key aspect of the school.</w:t>
            </w:r>
          </w:p>
          <w:p w:rsidR="00000000" w:rsidDel="00000000" w:rsidP="00000000" w:rsidRDefault="00000000" w:rsidRPr="00000000" w14:paraId="00000054">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Interschool sport was a key part of their experiences.</w:t>
            </w:r>
          </w:p>
          <w:p w:rsidR="00000000" w:rsidDel="00000000" w:rsidP="00000000" w:rsidRDefault="00000000" w:rsidRPr="00000000" w14:paraId="00000055">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 The 2023 VCE results were outstanding with an all study score mean reaching 29, including 4.2%</w:t>
              <w:br w:type="textWrapping"/>
              <w:t xml:space="preserve">scores over 40+.</w:t>
            </w:r>
          </w:p>
          <w:p w:rsidR="00000000" w:rsidDel="00000000" w:rsidP="00000000" w:rsidRDefault="00000000" w:rsidRPr="00000000" w14:paraId="00000056">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The annual school production was "High School Musical," which proved to be very popular, with three sold-out shows. </w:t>
            </w:r>
          </w:p>
          <w:p w:rsidR="00000000" w:rsidDel="00000000" w:rsidP="00000000" w:rsidRDefault="00000000" w:rsidRPr="00000000" w14:paraId="00000057">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Year 7, 9, 10, 12, Outdoor education and student leadership camps were a highlight for the</w:t>
              <w:br w:type="textWrapping"/>
              <w:t xml:space="preserve">participating students</w:t>
            </w:r>
          </w:p>
          <w:p w:rsidR="00000000" w:rsidDel="00000000" w:rsidP="00000000" w:rsidRDefault="00000000" w:rsidRPr="00000000" w14:paraId="00000058">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RACV Energy Breakthrough HPV camp - Students enhanced their sporting and leadership skills</w:t>
            </w:r>
          </w:p>
          <w:p w:rsidR="00000000" w:rsidDel="00000000" w:rsidP="00000000" w:rsidRDefault="00000000" w:rsidRPr="00000000" w14:paraId="00000059">
            <w:pPr>
              <w:pStyle w:val="Heading3"/>
              <w:numPr>
                <w:ilvl w:val="0"/>
                <w:numId w:val="3"/>
              </w:numPr>
              <w:spacing w:after="0" w:before="0" w:lineRule="auto"/>
              <w:ind w:left="720" w:hanging="182.99999999999997"/>
              <w:rPr>
                <w:b w:val="0"/>
                <w:color w:val="000000"/>
                <w:sz w:val="18"/>
                <w:szCs w:val="18"/>
              </w:rPr>
            </w:pPr>
            <w:r w:rsidDel="00000000" w:rsidR="00000000" w:rsidRPr="00000000">
              <w:rPr>
                <w:b w:val="0"/>
                <w:color w:val="000000"/>
                <w:sz w:val="18"/>
                <w:szCs w:val="18"/>
                <w:rtl w:val="0"/>
              </w:rPr>
              <w:t xml:space="preserve">NGSC Multicultural Day celebration was again a success with a definite highlight being the Maori performances and the biggest multicultural parade.  The win by the students over the staff in the interschool football also proved to be popular.</w:t>
              <w:br w:type="textWrapping"/>
            </w:r>
          </w:p>
          <w:p w:rsidR="00000000" w:rsidDel="00000000" w:rsidP="00000000" w:rsidRDefault="00000000" w:rsidRPr="00000000" w14:paraId="0000005A">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5B">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Financial performance</w:t>
            </w: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5C">
            <w:pPr>
              <w:pStyle w:val="Heading3"/>
              <w:spacing w:after="0" w:before="0" w:lineRule="auto"/>
              <w:rPr>
                <w:b w:val="0"/>
                <w:color w:val="000000"/>
                <w:sz w:val="18"/>
                <w:szCs w:val="18"/>
              </w:rPr>
            </w:pPr>
            <w:r w:rsidDel="00000000" w:rsidR="00000000" w:rsidRPr="00000000">
              <w:rPr>
                <w:b w:val="0"/>
                <w:color w:val="000000"/>
                <w:sz w:val="18"/>
                <w:szCs w:val="18"/>
                <w:rtl w:val="0"/>
              </w:rPr>
              <w:t xml:space="preserve">In 2023 the school had a net operating surplus which has been committed to the following programs;</w:t>
              <w:br w:type="textWrapping"/>
              <w:t xml:space="preserve">• School improvement buildings/grounds/sporting facilities and materials</w:t>
              <w:br w:type="textWrapping"/>
              <w:t xml:space="preserve">• School Based programs: Excellence in Sports (Soccer/Football/Volleyball), Chaplaincy, Youth worker, Advance HPV Program, fundraising money, Sickbay Officer.</w:t>
              <w:br w:type="textWrapping"/>
              <w:t xml:space="preserve">• Implementation of ACE and STAR Literacy and Numeracy innovative programs.</w:t>
            </w:r>
          </w:p>
          <w:p w:rsidR="00000000" w:rsidDel="00000000" w:rsidP="00000000" w:rsidRDefault="00000000" w:rsidRPr="00000000" w14:paraId="0000005D">
            <w:pPr>
              <w:pStyle w:val="Heading3"/>
              <w:spacing w:after="0" w:before="0" w:lineRule="auto"/>
              <w:rPr>
                <w:b w:val="0"/>
                <w:color w:val="000000"/>
                <w:sz w:val="18"/>
                <w:szCs w:val="18"/>
              </w:rPr>
            </w:pPr>
            <w:r w:rsidDel="00000000" w:rsidR="00000000" w:rsidRPr="00000000">
              <w:rPr>
                <w:b w:val="0"/>
                <w:color w:val="000000"/>
                <w:sz w:val="18"/>
                <w:szCs w:val="18"/>
                <w:rtl w:val="0"/>
              </w:rPr>
              <w:t xml:space="preserve">• Implementation of Disability Inclusion (DI) initiative (employment of DI Leader, DI Learning Specialist and DI teaching, DI assistant and ES classroom support staff) </w:t>
            </w:r>
          </w:p>
          <w:p w:rsidR="00000000" w:rsidDel="00000000" w:rsidP="00000000" w:rsidRDefault="00000000" w:rsidRPr="00000000" w14:paraId="0000005E">
            <w:pPr>
              <w:pStyle w:val="Heading3"/>
              <w:spacing w:after="0" w:before="0" w:lineRule="auto"/>
              <w:rPr>
                <w:b w:val="0"/>
                <w:color w:val="000000"/>
                <w:sz w:val="18"/>
                <w:szCs w:val="18"/>
              </w:rPr>
            </w:pPr>
            <w:r w:rsidDel="00000000" w:rsidR="00000000" w:rsidRPr="00000000">
              <w:rPr>
                <w:b w:val="0"/>
                <w:color w:val="000000"/>
                <w:sz w:val="18"/>
                <w:szCs w:val="18"/>
                <w:rtl w:val="0"/>
              </w:rPr>
              <w:t xml:space="preserve">• Equity Funding (STAR and ACE Literacy and Numeracy programs, Building Teacher capacity, EAL program including an EAL</w:t>
              <w:br w:type="textWrapping"/>
              <w:t xml:space="preserve">transition program and MEAs, 3 x sub-schools structure (Junior, Middle and Senior including; 3 x Leading Teachers/Sub-School</w:t>
              <w:br w:type="textWrapping"/>
              <w:t xml:space="preserve">Leaders and 3 x PCOs), Full time School First Aid Officer, ES Librarians providing a Library Resources and Support Program from</w:t>
              <w:br w:type="textWrapping"/>
              <w:t xml:space="preserve">8.30am to 4.30pm non-stop, expanded Instrumental Music Program, Youth Worker).</w:t>
              <w:br w:type="textWrapping"/>
              <w:t xml:space="preserve">•  International Student Program excursions</w:t>
              <w:br w:type="textWrapping"/>
              <w:t xml:space="preserve">• Local works including;  Outdoor Education Teaching Area, Front of school window renovation, C wing floor restump,  Further Technology Wing refurbishment, installation of electric doors in A and L blocks, maintenance of the synthetic courts, asphalt driveway and downball courts, "Sports shack" (lunchtime borrowing), purchase of new classroom equipment</w:t>
              <w:br w:type="textWrapping"/>
            </w:r>
          </w:p>
          <w:p w:rsidR="00000000" w:rsidDel="00000000" w:rsidP="00000000" w:rsidRDefault="00000000" w:rsidRPr="00000000" w14:paraId="0000005F">
            <w:pPr>
              <w:pStyle w:val="Heading3"/>
              <w:spacing w:after="0" w:before="0" w:lineRule="auto"/>
              <w:rPr>
                <w:b w:val="0"/>
                <w:color w:val="000000"/>
                <w:sz w:val="18"/>
                <w:szCs w:val="18"/>
              </w:rPr>
            </w:pPr>
            <w:r w:rsidDel="00000000" w:rsidR="00000000" w:rsidRPr="00000000">
              <w:rPr>
                <w:rtl w:val="0"/>
              </w:rPr>
            </w:r>
          </w:p>
        </w:tc>
      </w:tr>
      <w:tr>
        <w:trPr>
          <w:cantSplit w:val="0"/>
          <w:trHeight w:val="15" w:hRule="atLeast"/>
          <w:tblHeader w:val="0"/>
        </w:trPr>
        <w:tc>
          <w:tcPr>
            <w:shd w:fill="auto" w:val="clear"/>
          </w:tcPr>
          <w:p w:rsidR="00000000" w:rsidDel="00000000" w:rsidP="00000000" w:rsidRDefault="00000000" w:rsidRPr="00000000" w14:paraId="00000060">
            <w:pPr>
              <w:pStyle w:val="Heading3"/>
              <w:spacing w:after="0" w:before="0" w:lineRule="auto"/>
              <w:rPr>
                <w:b w:val="0"/>
                <w:sz w:val="18"/>
                <w:szCs w:val="18"/>
              </w:rPr>
            </w:pPr>
            <w:r w:rsidDel="00000000" w:rsidR="00000000" w:rsidRPr="00000000">
              <w:rPr>
                <w:rtl w:val="0"/>
              </w:rPr>
            </w:r>
          </w:p>
          <w:p w:rsidR="00000000" w:rsidDel="00000000" w:rsidP="00000000" w:rsidRDefault="00000000" w:rsidRPr="00000000" w14:paraId="00000061">
            <w:pPr>
              <w:spacing w:after="218" w:line="240" w:lineRule="auto"/>
              <w:jc w:val="center"/>
              <w:rPr>
                <w:sz w:val="22"/>
                <w:szCs w:val="22"/>
              </w:rPr>
            </w:pPr>
            <w:r w:rsidDel="00000000" w:rsidR="00000000" w:rsidRPr="00000000">
              <w:rPr>
                <w:b w:val="1"/>
                <w:sz w:val="22"/>
                <w:szCs w:val="22"/>
                <w:rtl w:val="0"/>
              </w:rPr>
              <w:t xml:space="preserve">For more detailed information regarding our school please visit our website at </w:t>
            </w:r>
            <w:hyperlink r:id="rId20">
              <w:r w:rsidDel="00000000" w:rsidR="00000000" w:rsidRPr="00000000">
                <w:rPr>
                  <w:b w:val="1"/>
                  <w:color w:val="0000ee"/>
                  <w:sz w:val="22"/>
                  <w:szCs w:val="22"/>
                  <w:u w:val="single"/>
                  <w:rtl w:val="0"/>
                </w:rPr>
                <w:t xml:space="preserve">https://ngsc.vic.edu.au/</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ind w:right="-632"/>
        <w:rPr>
          <w:b w:val="1"/>
          <w:color w:val="af272f"/>
          <w:sz w:val="36"/>
          <w:szCs w:val="36"/>
        </w:rPr>
        <w:sectPr>
          <w:headerReference r:id="rId21" w:type="default"/>
          <w:headerReference r:id="rId22" w:type="first"/>
          <w:footerReference r:id="rId23" w:type="default"/>
          <w:type w:val="nextPage"/>
          <w:pgSz w:h="16838" w:w="11906" w:orient="portrait"/>
          <w:pgMar w:bottom="1701" w:top="709" w:left="1134" w:right="1134" w:header="0" w:footer="709"/>
        </w:sectPr>
      </w:pPr>
      <w:r w:rsidDel="00000000" w:rsidR="00000000" w:rsidRPr="00000000">
        <w:rPr>
          <w:rtl w:val="0"/>
        </w:rPr>
      </w:r>
    </w:p>
    <w:p w:rsidR="00000000" w:rsidDel="00000000" w:rsidP="00000000" w:rsidRDefault="00000000" w:rsidRPr="00000000" w14:paraId="00000064">
      <w:pPr>
        <w:pStyle w:val="Title"/>
        <w:rPr/>
      </w:pPr>
      <w:r w:rsidDel="00000000" w:rsidR="00000000" w:rsidRPr="00000000">
        <w:rPr>
          <w:rtl w:val="0"/>
        </w:rPr>
        <w:t xml:space="preserve">Performance Summary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Performance Summary for government schools provides an overview of how this school is contributing to the objectives of the Education State and how it compares to other Victorian government schools.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Refer to the ‘How to read the Annual Report’ section for help on how to interpret this report.</w:t>
      </w:r>
    </w:p>
    <w:p w:rsidR="00000000" w:rsidDel="00000000" w:rsidP="00000000" w:rsidRDefault="00000000" w:rsidRPr="00000000" w14:paraId="00000068">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SCHOOL PROFILE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Enrolment Profile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total of  989 students were enrolled at this school in 2023,  426 female and  559 male.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 percent of students had English as an additional language and 4 percent were Aboriginal or Torres Strait Islander.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af272f"/>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Overall Socio-Economic Profile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overall school’s socio-economic profile is based on the school's Student Family Occupation and Education index (SFOE).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school’s SFOE band value is: High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 Satisfaction Summary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percentage endorsement by parents on their General School Satisfaction, as reported in the annual Parent/Caregiver/Guardian Opinion Survey.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 endorsement indicates the percent of positive responses (agree or strongly agree) from parents who responded to the survey.</w:t>
      </w:r>
      <w:r w:rsidDel="00000000" w:rsidR="00000000" w:rsidRPr="00000000">
        <w:drawing>
          <wp:anchor allowOverlap="1" behindDoc="0" distB="0" distT="0" distL="114300" distR="114300" hidden="0" layoutInCell="1" locked="0" relativeHeight="0" simplePos="0">
            <wp:simplePos x="0" y="0"/>
            <wp:positionH relativeFrom="column">
              <wp:posOffset>3394921</wp:posOffset>
            </wp:positionH>
            <wp:positionV relativeFrom="paragraph">
              <wp:posOffset>532552</wp:posOffset>
            </wp:positionV>
            <wp:extent cx="3476625" cy="1443567"/>
            <wp:wrapNone/>
            <wp:docPr id="1983185909" name=""/>
            <a:graphic>
              <a:graphicData uri="http://schemas.openxmlformats.org/drawingml/2006/chart">
                <c:chart r:id="rId24"/>
              </a:graphicData>
            </a:graphic>
          </wp:anchor>
        </w:drawing>
      </w:r>
    </w:p>
    <w:tbl>
      <w:tblPr>
        <w:tblStyle w:val="Table4"/>
        <w:tblW w:w="4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1139"/>
        <w:tblGridChange w:id="0">
          <w:tblGrid>
            <w:gridCol w:w="3256"/>
            <w:gridCol w:w="1139"/>
          </w:tblGrid>
        </w:tblGridChange>
      </w:tblGrid>
      <w:tr>
        <w:trPr>
          <w:cantSplit w:val="0"/>
          <w:trHeight w:val="567" w:hRule="atLeast"/>
          <w:tblHeader w:val="0"/>
        </w:trPr>
        <w:tc>
          <w:tcPr>
            <w:vAlign w:val="bottom"/>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 Satisfaction</w:t>
            </w:r>
          </w:p>
        </w:tc>
        <w:tc>
          <w:tcPr>
            <w:vAlign w:val="bottom"/>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r w:rsidDel="00000000" w:rsidR="00000000" w:rsidRPr="00000000">
              <w:rPr>
                <w:rtl w:val="0"/>
              </w:rPr>
            </w:r>
          </w:p>
        </w:tc>
      </w:tr>
      <w:tr>
        <w:trPr>
          <w:cantSplit w:val="0"/>
          <w:trHeight w:val="680" w:hRule="atLeast"/>
          <w:tblHeader w:val="0"/>
        </w:trPr>
        <w:tc>
          <w:tcPr>
            <w:tcMar>
              <w:top w:w="57.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endorsement:</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78.4%</w:t>
            </w:r>
          </w:p>
        </w:tc>
      </w:tr>
      <w:tr>
        <w:trPr>
          <w:cantSplit w:val="0"/>
          <w:trHeight w:val="680" w:hRule="atLeast"/>
          <w:tblHeader w:val="0"/>
        </w:trPr>
        <w:tc>
          <w:tcPr>
            <w:tcMar>
              <w:top w:w="57.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 (secondary schools):</w:t>
            </w:r>
          </w:p>
        </w:tc>
        <w:tc>
          <w:tcPr>
            <w:tcBorders>
              <w:top w:color="ffffff" w:space="0" w:sz="4" w:val="single"/>
            </w:tcBorders>
            <w:shd w:fill="a6a6a6" w:val="clear"/>
            <w:tcMar>
              <w:top w:w="57.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73.1%</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 Staff Survey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percentage endorsement by staff on School Climate, as reported in the annual School Staff Survey.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endorsement indicates the percent of positive responses (agree or strongly agree) from staff who responded to the survey.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is suppressed for schools with three or less respondents to the survey for confidentiality reasons.</w:t>
      </w:r>
      <w:r w:rsidDel="00000000" w:rsidR="00000000" w:rsidRPr="00000000">
        <w:drawing>
          <wp:anchor allowOverlap="1" behindDoc="0" distB="0" distT="0" distL="114300" distR="114300" hidden="0" layoutInCell="1" locked="0" relativeHeight="0" simplePos="0">
            <wp:simplePos x="0" y="0"/>
            <wp:positionH relativeFrom="column">
              <wp:posOffset>3361055</wp:posOffset>
            </wp:positionH>
            <wp:positionV relativeFrom="paragraph">
              <wp:posOffset>506518</wp:posOffset>
            </wp:positionV>
            <wp:extent cx="3521710" cy="1468967"/>
            <wp:wrapNone/>
            <wp:docPr id="1983185917" name=""/>
            <a:graphic>
              <a:graphicData uri="http://schemas.openxmlformats.org/drawingml/2006/chart">
                <c:chart r:id="rId25"/>
              </a:graphicData>
            </a:graphic>
          </wp:anchor>
        </w:drawing>
      </w:r>
    </w:p>
    <w:tbl>
      <w:tblPr>
        <w:tblStyle w:val="Table5"/>
        <w:tblW w:w="4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1139"/>
        <w:tblGridChange w:id="0">
          <w:tblGrid>
            <w:gridCol w:w="3256"/>
            <w:gridCol w:w="1139"/>
          </w:tblGrid>
        </w:tblGridChange>
      </w:tblGrid>
      <w:tr>
        <w:trPr>
          <w:cantSplit w:val="0"/>
          <w:trHeight w:val="567" w:hRule="atLeast"/>
          <w:tblHeader w:val="0"/>
        </w:trPr>
        <w:tc>
          <w:tcPr>
            <w:vAlign w:val="bottom"/>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 Climate</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r w:rsidDel="00000000" w:rsidR="00000000" w:rsidRPr="00000000">
              <w:rPr>
                <w:rtl w:val="0"/>
              </w:rPr>
            </w:r>
          </w:p>
        </w:tc>
      </w:tr>
      <w:tr>
        <w:trPr>
          <w:cantSplit w:val="0"/>
          <w:trHeight w:val="680" w:hRule="atLeast"/>
          <w:tblHeader w:val="0"/>
        </w:trPr>
        <w:tc>
          <w:tcPr>
            <w:tcMar>
              <w:top w:w="57.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endorsement:</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64.9%</w:t>
            </w:r>
          </w:p>
        </w:tc>
      </w:tr>
      <w:tr>
        <w:trPr>
          <w:cantSplit w:val="0"/>
          <w:trHeight w:val="680" w:hRule="atLeast"/>
          <w:tblHeader w:val="0"/>
        </w:trPr>
        <w:tc>
          <w:tcPr>
            <w:tcMar>
              <w:top w:w="57.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 (secondary schools):</w:t>
            </w:r>
          </w:p>
        </w:tc>
        <w:tc>
          <w:tcPr>
            <w:tcBorders>
              <w:top w:color="ffffff" w:space="0" w:sz="4" w:val="single"/>
            </w:tcBorders>
            <w:shd w:fill="a6a6a6" w:val="clear"/>
            <w:tcMar>
              <w:top w:w="57.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57.2%</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LEARNING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Teacher Judgement of student achievement against the Victorian Curriculum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of students working at or above age expected standards in English and Mathematics.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3264535</wp:posOffset>
            </wp:positionH>
            <wp:positionV relativeFrom="paragraph">
              <wp:posOffset>123190</wp:posOffset>
            </wp:positionV>
            <wp:extent cx="3724275" cy="1905000"/>
            <wp:wrapNone/>
            <wp:docPr id="1983185922" name=""/>
            <a:graphic>
              <a:graphicData uri="http://schemas.openxmlformats.org/drawingml/2006/chart">
                <c:chart r:id="rId26"/>
              </a:graphicData>
            </a:graphic>
          </wp:anchor>
        </w:drawing>
      </w:r>
    </w:p>
    <w:tbl>
      <w:tblPr>
        <w:tblStyle w:val="Table6"/>
        <w:tblW w:w="4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1139"/>
        <w:tblGridChange w:id="0">
          <w:tblGrid>
            <w:gridCol w:w="3681"/>
            <w:gridCol w:w="1139"/>
          </w:tblGrid>
        </w:tblGridChange>
      </w:tblGrid>
      <w:tr>
        <w:trPr>
          <w:cantSplit w:val="0"/>
          <w:tblHeader w:val="0"/>
        </w:trPr>
        <w:tc>
          <w:tcPr>
            <w:vAlign w:val="bottom"/>
          </w:tcPr>
          <w:p w:rsidR="00000000" w:rsidDel="00000000" w:rsidP="00000000" w:rsidRDefault="00000000" w:rsidRPr="00000000" w14:paraId="0000008C">
            <w:pPr>
              <w:spacing w:after="0" w:line="240" w:lineRule="auto"/>
              <w:rPr>
                <w:b w:val="1"/>
                <w:color w:val="000000"/>
              </w:rPr>
            </w:pPr>
            <w:r w:rsidDel="00000000" w:rsidR="00000000" w:rsidRPr="00000000">
              <w:rPr>
                <w:b w:val="1"/>
                <w:color w:val="000000"/>
                <w:rtl w:val="0"/>
              </w:rPr>
              <w:t xml:space="preserve">English</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7 to 10</w:t>
            </w:r>
            <w:r w:rsidDel="00000000" w:rsidR="00000000" w:rsidRPr="00000000">
              <w:rPr>
                <w:rtl w:val="0"/>
              </w:rPr>
            </w:r>
          </w:p>
        </w:tc>
        <w:tc>
          <w:tcPr>
            <w:vAlign w:val="bottom"/>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r w:rsidDel="00000000" w:rsidR="00000000" w:rsidRPr="00000000">
              <w:rPr>
                <w:rtl w:val="0"/>
              </w:rPr>
            </w:r>
          </w:p>
        </w:tc>
      </w:tr>
      <w:tr>
        <w:trPr>
          <w:cantSplit w:val="0"/>
          <w:trHeight w:val="567" w:hRule="atLeast"/>
          <w:tblHeader w:val="0"/>
        </w:trPr>
        <w:tc>
          <w:tcPr>
            <w:tcMar>
              <w:top w:w="57.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at or above age expected standards: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60.2%</w:t>
            </w:r>
          </w:p>
        </w:tc>
      </w:tr>
      <w:tr>
        <w:trPr>
          <w:cantSplit w:val="0"/>
          <w:trHeight w:val="567" w:hRule="atLeast"/>
          <w:tblHeader w:val="0"/>
        </w:trPr>
        <w:tc>
          <w:tcPr>
            <w:tcMar>
              <w:top w:w="57.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67.6%</w:t>
            </w:r>
          </w:p>
        </w:tc>
      </w:tr>
      <w:tr>
        <w:trPr>
          <w:cantSplit w:val="0"/>
          <w:trHeight w:val="567" w:hRule="atLeast"/>
          <w:tblHeader w:val="0"/>
        </w:trPr>
        <w:tc>
          <w:tcPr>
            <w:tcMar>
              <w:top w:w="57.0" w:type="dxa"/>
            </w:tcM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75.5%</w:t>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3297555</wp:posOffset>
            </wp:positionH>
            <wp:positionV relativeFrom="paragraph">
              <wp:posOffset>119379</wp:posOffset>
            </wp:positionV>
            <wp:extent cx="3724275" cy="1905000"/>
            <wp:wrapNone/>
            <wp:docPr id="1983185912" name=""/>
            <a:graphic>
              <a:graphicData uri="http://schemas.openxmlformats.org/drawingml/2006/chart">
                <c:chart r:id="rId27"/>
              </a:graphicData>
            </a:graphic>
          </wp:anchor>
        </w:drawing>
      </w:r>
    </w:p>
    <w:tbl>
      <w:tblPr>
        <w:tblStyle w:val="Table7"/>
        <w:tblW w:w="4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1139"/>
        <w:tblGridChange w:id="0">
          <w:tblGrid>
            <w:gridCol w:w="3681"/>
            <w:gridCol w:w="1139"/>
          </w:tblGrid>
        </w:tblGridChange>
      </w:tblGrid>
      <w:tr>
        <w:trPr>
          <w:cantSplit w:val="0"/>
          <w:tblHeader w:val="0"/>
        </w:trPr>
        <w:tc>
          <w:tcPr>
            <w:vAlign w:val="bottom"/>
          </w:tcPr>
          <w:p w:rsidR="00000000" w:rsidDel="00000000" w:rsidP="00000000" w:rsidRDefault="00000000" w:rsidRPr="00000000" w14:paraId="00000099">
            <w:pPr>
              <w:spacing w:after="0" w:line="240" w:lineRule="auto"/>
              <w:rPr>
                <w:b w:val="1"/>
                <w:color w:val="000000"/>
              </w:rPr>
            </w:pPr>
            <w:r w:rsidDel="00000000" w:rsidR="00000000" w:rsidRPr="00000000">
              <w:rPr>
                <w:b w:val="1"/>
                <w:color w:val="000000"/>
                <w:rtl w:val="0"/>
              </w:rPr>
              <w:t xml:space="preserve">Mathematics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7 to 10</w:t>
            </w:r>
            <w:r w:rsidDel="00000000" w:rsidR="00000000" w:rsidRPr="00000000">
              <w:rPr>
                <w:rtl w:val="0"/>
              </w:rPr>
            </w:r>
          </w:p>
        </w:tc>
        <w:tc>
          <w:tcPr>
            <w:vAlign w:val="bottom"/>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r>
      <w:tr>
        <w:trPr>
          <w:cantSplit w:val="0"/>
          <w:trHeight w:val="567" w:hRule="atLeast"/>
          <w:tblHeader w:val="0"/>
        </w:trPr>
        <w:tc>
          <w:tcPr>
            <w:tcMar>
              <w:top w:w="57.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at or above age expected standards: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48.0%</w:t>
            </w:r>
          </w:p>
        </w:tc>
      </w:tr>
      <w:tr>
        <w:trPr>
          <w:cantSplit w:val="0"/>
          <w:trHeight w:val="567" w:hRule="atLeast"/>
          <w:tblHeader w:val="0"/>
        </w:trPr>
        <w:tc>
          <w:tcPr>
            <w:tcMar>
              <w:top w:w="57.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58.2%</w:t>
            </w:r>
          </w:p>
        </w:tc>
      </w:tr>
      <w:tr>
        <w:trPr>
          <w:cantSplit w:val="0"/>
          <w:trHeight w:val="567" w:hRule="atLeast"/>
          <w:tblHeader w:val="0"/>
        </w:trPr>
        <w:tc>
          <w:tcPr>
            <w:tcMar>
              <w:top w:w="57.0" w:type="dxa"/>
            </w:tcM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68.2%</w:t>
            </w:r>
          </w:p>
        </w:tc>
      </w:tr>
    </w:tbl>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spacing w:after="0" w:line="240"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LEARNING (continued)</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NAPLAN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of students in the Strong or Exceeding proficiency levels in NAPLAN.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The NAPLAN test was revised in 2023 and the results are no longer comparable to previous years. Hence, the 4-year average has been removed until 4-years of data is available. </w:t>
      </w:r>
      <w:r w:rsidDel="00000000" w:rsidR="00000000" w:rsidRPr="00000000">
        <w:drawing>
          <wp:anchor allowOverlap="1" behindDoc="0" distB="0" distT="0" distL="114300" distR="114300" hidden="0" layoutInCell="1" locked="0" relativeHeight="0" simplePos="0">
            <wp:simplePos x="0" y="0"/>
            <wp:positionH relativeFrom="column">
              <wp:posOffset>3383341</wp:posOffset>
            </wp:positionH>
            <wp:positionV relativeFrom="paragraph">
              <wp:posOffset>290830</wp:posOffset>
            </wp:positionV>
            <wp:extent cx="3495675" cy="1933575"/>
            <wp:wrapNone/>
            <wp:docPr id="1983185908" name=""/>
            <a:graphic>
              <a:graphicData uri="http://schemas.openxmlformats.org/drawingml/2006/chart">
                <c:chart r:id="rId28"/>
              </a:graphicData>
            </a:graphic>
          </wp:anchor>
        </w:drawing>
      </w:r>
    </w:p>
    <w:tbl>
      <w:tblPr>
        <w:tblStyle w:val="Table8"/>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AA">
            <w:pPr>
              <w:spacing w:after="0" w:line="240" w:lineRule="auto"/>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7</w:t>
            </w:r>
          </w:p>
        </w:tc>
        <w:tc>
          <w:tcPr>
            <w:vAlign w:val="bottom"/>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r>
      <w:tr>
        <w:trPr>
          <w:cantSplit w:val="0"/>
          <w:trHeight w:val="567" w:hRule="atLeast"/>
          <w:tblHeader w:val="0"/>
        </w:trPr>
        <w:tc>
          <w:tcPr>
            <w:tcMar>
              <w:top w:w="57.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Strong or Exceeding:</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55.1%</w:t>
            </w:r>
          </w:p>
        </w:tc>
      </w:tr>
      <w:tr>
        <w:trPr>
          <w:cantSplit w:val="0"/>
          <w:trHeight w:val="567" w:hRule="atLeast"/>
          <w:tblHeader w:val="0"/>
        </w:trPr>
        <w:tc>
          <w:tcPr>
            <w:tcMar>
              <w:top w:w="57.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57.0%</w:t>
            </w:r>
          </w:p>
        </w:tc>
      </w:tr>
      <w:tr>
        <w:trPr>
          <w:cantSplit w:val="0"/>
          <w:trHeight w:val="567" w:hRule="atLeast"/>
          <w:tblHeader w:val="0"/>
        </w:trPr>
        <w:tc>
          <w:tcPr>
            <w:tcMar>
              <w:top w:w="57.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66.1%</w:t>
            </w:r>
          </w:p>
        </w:tc>
      </w:tr>
    </w:tbl>
    <w:p w:rsidR="00000000" w:rsidDel="00000000" w:rsidP="00000000" w:rsidRDefault="00000000" w:rsidRPr="00000000" w14:paraId="000000B3">
      <w:pPr>
        <w:spacing w:after="0" w:line="240" w:lineRule="auto"/>
        <w:rPr>
          <w:b w:val="1"/>
          <w:color w:val="000000"/>
        </w:rPr>
      </w:pPr>
      <w:r w:rsidDel="00000000" w:rsidR="00000000" w:rsidRPr="00000000">
        <w:rPr>
          <w:rtl w:val="0"/>
        </w:rPr>
      </w:r>
    </w:p>
    <w:p w:rsidR="00000000" w:rsidDel="00000000" w:rsidP="00000000" w:rsidRDefault="00000000" w:rsidRPr="00000000" w14:paraId="000000B4">
      <w:pPr>
        <w:spacing w:after="0" w:line="240" w:lineRule="auto"/>
        <w:rPr>
          <w:b w:val="1"/>
          <w:color w:val="000000"/>
        </w:rPr>
      </w:pPr>
      <w:r w:rsidDel="00000000" w:rsidR="00000000" w:rsidRPr="00000000">
        <w:rPr>
          <w:rtl w:val="0"/>
        </w:rPr>
      </w:r>
    </w:p>
    <w:p w:rsidR="00000000" w:rsidDel="00000000" w:rsidP="00000000" w:rsidRDefault="00000000" w:rsidRPr="00000000" w14:paraId="000000B5">
      <w:pPr>
        <w:spacing w:after="0" w:line="240" w:lineRule="auto"/>
        <w:rPr>
          <w:b w:val="1"/>
          <w:color w:val="000000"/>
        </w:rPr>
      </w:pPr>
      <w:r w:rsidDel="00000000" w:rsidR="00000000" w:rsidRPr="00000000">
        <w:rPr>
          <w:rtl w:val="0"/>
        </w:rPr>
      </w:r>
    </w:p>
    <w:p w:rsidR="00000000" w:rsidDel="00000000" w:rsidP="00000000" w:rsidRDefault="00000000" w:rsidRPr="00000000" w14:paraId="000000B6">
      <w:pPr>
        <w:spacing w:after="0" w:line="240" w:lineRule="auto"/>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3392806</wp:posOffset>
            </wp:positionH>
            <wp:positionV relativeFrom="paragraph">
              <wp:posOffset>59055</wp:posOffset>
            </wp:positionV>
            <wp:extent cx="3467100" cy="1971675"/>
            <wp:wrapNone/>
            <wp:docPr id="1983185905" name=""/>
            <a:graphic>
              <a:graphicData uri="http://schemas.openxmlformats.org/drawingml/2006/chart">
                <c:chart r:id="rId29"/>
              </a:graphicData>
            </a:graphic>
          </wp:anchor>
        </w:drawing>
      </w:r>
    </w:p>
    <w:tbl>
      <w:tblPr>
        <w:tblStyle w:val="Table9"/>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B7">
            <w:pPr>
              <w:spacing w:after="0" w:line="240" w:lineRule="auto"/>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9</w:t>
            </w:r>
          </w:p>
        </w:tc>
        <w:tc>
          <w:tcPr>
            <w:vAlign w:val="bottom"/>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r>
      <w:tr>
        <w:trPr>
          <w:cantSplit w:val="0"/>
          <w:trHeight w:val="567" w:hRule="atLeast"/>
          <w:tblHeader w:val="0"/>
        </w:trPr>
        <w:tc>
          <w:tcPr>
            <w:tcMar>
              <w:top w:w="57.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Strong or Exceeding:</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34.4%</w:t>
            </w:r>
          </w:p>
        </w:tc>
      </w:tr>
      <w:tr>
        <w:trPr>
          <w:cantSplit w:val="0"/>
          <w:trHeight w:val="567" w:hRule="atLeast"/>
          <w:tblHeader w:val="0"/>
        </w:trPr>
        <w:tc>
          <w:tcPr>
            <w:tcMar>
              <w:top w:w="57.0" w:type="dxa"/>
            </w:tcM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47.9%</w:t>
            </w:r>
          </w:p>
        </w:tc>
      </w:tr>
      <w:tr>
        <w:trPr>
          <w:cantSplit w:val="0"/>
          <w:trHeight w:val="567" w:hRule="atLeast"/>
          <w:tblHeader w:val="0"/>
        </w:trPr>
        <w:tc>
          <w:tcPr>
            <w:tcMar>
              <w:top w:w="57.0" w:type="dxa"/>
            </w:tcM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60.0%</w:t>
            </w:r>
          </w:p>
        </w:tc>
      </w:tr>
    </w:tbl>
    <w:p w:rsidR="00000000" w:rsidDel="00000000" w:rsidP="00000000" w:rsidRDefault="00000000" w:rsidRPr="00000000" w14:paraId="000000C0">
      <w:pPr>
        <w:spacing w:after="0" w:line="240" w:lineRule="auto"/>
        <w:rPr>
          <w:color w:val="00000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3392805</wp:posOffset>
            </wp:positionH>
            <wp:positionV relativeFrom="paragraph">
              <wp:posOffset>179070</wp:posOffset>
            </wp:positionV>
            <wp:extent cx="3467100" cy="1933575"/>
            <wp:wrapNone/>
            <wp:docPr id="1983185920" name=""/>
            <a:graphic>
              <a:graphicData uri="http://schemas.openxmlformats.org/drawingml/2006/chart">
                <c:chart r:id="rId30"/>
              </a:graphicData>
            </a:graphic>
          </wp:anchor>
        </w:drawing>
      </w:r>
    </w:p>
    <w:tbl>
      <w:tblPr>
        <w:tblStyle w:val="Table10"/>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C3">
            <w:pPr>
              <w:spacing w:after="0" w:line="240" w:lineRule="auto"/>
              <w:rPr>
                <w:b w:val="1"/>
                <w:color w:val="000000"/>
              </w:rPr>
            </w:pPr>
            <w:r w:rsidDel="00000000" w:rsidR="00000000" w:rsidRPr="00000000">
              <w:rPr>
                <w:b w:val="1"/>
                <w:color w:val="000000"/>
                <w:rtl w:val="0"/>
              </w:rPr>
              <w:t xml:space="preserve">Numeracy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7</w:t>
            </w:r>
          </w:p>
        </w:tc>
        <w:tc>
          <w:tcPr>
            <w:vAlign w:val="bottom"/>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r>
      <w:tr>
        <w:trPr>
          <w:cantSplit w:val="0"/>
          <w:trHeight w:val="567" w:hRule="atLeast"/>
          <w:tblHeader w:val="0"/>
        </w:trPr>
        <w:tc>
          <w:tcPr>
            <w:tcMar>
              <w:top w:w="57.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Strong or Exceeding:</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55.8%</w:t>
            </w:r>
          </w:p>
        </w:tc>
      </w:tr>
      <w:tr>
        <w:trPr>
          <w:cantSplit w:val="0"/>
          <w:trHeight w:val="567" w:hRule="atLeast"/>
          <w:tblHeader w:val="0"/>
        </w:trPr>
        <w:tc>
          <w:tcPr>
            <w:tcMar>
              <w:top w:w="57.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52.4%</w:t>
            </w:r>
          </w:p>
        </w:tc>
      </w:tr>
      <w:tr>
        <w:trPr>
          <w:cantSplit w:val="0"/>
          <w:trHeight w:val="567" w:hRule="atLeast"/>
          <w:tblHeader w:val="0"/>
        </w:trPr>
        <w:tc>
          <w:tcPr>
            <w:tcMar>
              <w:top w:w="57.0" w:type="dxa"/>
            </w:tcM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62.9%</w:t>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3392805</wp:posOffset>
            </wp:positionH>
            <wp:positionV relativeFrom="paragraph">
              <wp:posOffset>179071</wp:posOffset>
            </wp:positionV>
            <wp:extent cx="3467100" cy="1943100"/>
            <wp:wrapNone/>
            <wp:docPr id="1983185913" name=""/>
            <a:graphic>
              <a:graphicData uri="http://schemas.openxmlformats.org/drawingml/2006/chart">
                <c:chart r:id="rId31"/>
              </a:graphicData>
            </a:graphic>
          </wp:anchor>
        </w:drawing>
      </w:r>
    </w:p>
    <w:tbl>
      <w:tblPr>
        <w:tblStyle w:val="Table11"/>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CE">
            <w:pPr>
              <w:spacing w:after="0" w:line="240" w:lineRule="auto"/>
              <w:rPr>
                <w:b w:val="1"/>
                <w:color w:val="000000"/>
              </w:rPr>
            </w:pPr>
            <w:r w:rsidDel="00000000" w:rsidR="00000000" w:rsidRPr="00000000">
              <w:rPr>
                <w:b w:val="1"/>
                <w:color w:val="000000"/>
                <w:rtl w:val="0"/>
              </w:rPr>
              <w:t xml:space="preserve">Numeracy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9</w:t>
            </w:r>
          </w:p>
        </w:tc>
        <w:tc>
          <w:tcPr>
            <w:vAlign w:val="bottom"/>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r>
      <w:tr>
        <w:trPr>
          <w:cantSplit w:val="0"/>
          <w:trHeight w:val="567" w:hRule="atLeast"/>
          <w:tblHeader w:val="0"/>
        </w:trPr>
        <w:tc>
          <w:tcPr>
            <w:tcMar>
              <w:top w:w="57.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Strong or Exceeding:</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42.9%</w:t>
            </w:r>
          </w:p>
        </w:tc>
      </w:tr>
      <w:tr>
        <w:trPr>
          <w:cantSplit w:val="0"/>
          <w:trHeight w:val="567" w:hRule="atLeast"/>
          <w:tblHeader w:val="0"/>
        </w:trPr>
        <w:tc>
          <w:tcPr>
            <w:tcMar>
              <w:top w:w="57.0" w:type="dxa"/>
            </w:tcM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47.6%</w:t>
            </w:r>
          </w:p>
        </w:tc>
      </w:tr>
      <w:tr>
        <w:trPr>
          <w:cantSplit w:val="0"/>
          <w:trHeight w:val="567" w:hRule="atLeast"/>
          <w:tblHeader w:val="0"/>
        </w:trPr>
        <w:tc>
          <w:tcPr>
            <w:tcMar>
              <w:top w:w="57.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59.9%</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LEARNING (continued)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NAPLAN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of students in the top three bands of testing in NAPLAN.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The NAPLAN test was revised in 2023 and the 2022 results are not comparable to the new methodology.</w:t>
      </w:r>
    </w:p>
    <w:p w:rsidR="00000000" w:rsidDel="00000000" w:rsidP="00000000" w:rsidRDefault="00000000" w:rsidRPr="00000000" w14:paraId="000000DE">
      <w:pPr>
        <w:spacing w:after="0" w:line="240" w:lineRule="auto"/>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3373755</wp:posOffset>
            </wp:positionH>
            <wp:positionV relativeFrom="paragraph">
              <wp:posOffset>80010</wp:posOffset>
            </wp:positionV>
            <wp:extent cx="3495675" cy="1933575"/>
            <wp:wrapNone/>
            <wp:docPr id="1983185916" name=""/>
            <a:graphic>
              <a:graphicData uri="http://schemas.openxmlformats.org/drawingml/2006/chart">
                <c:chart r:id="rId32"/>
              </a:graphicData>
            </a:graphic>
          </wp:anchor>
        </w:drawing>
      </w:r>
    </w:p>
    <w:tbl>
      <w:tblPr>
        <w:tblStyle w:val="Table12"/>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DF">
            <w:pPr>
              <w:spacing w:after="0" w:line="240" w:lineRule="auto"/>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7</w:t>
            </w:r>
          </w:p>
        </w:tc>
        <w:tc>
          <w:tcPr>
            <w:vAlign w:val="bottom"/>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(2022)</w:t>
            </w:r>
          </w:p>
        </w:tc>
      </w:tr>
      <w:tr>
        <w:trPr>
          <w:cantSplit w:val="0"/>
          <w:trHeight w:val="567" w:hRule="atLeast"/>
          <w:tblHeader w:val="0"/>
        </w:trPr>
        <w:tc>
          <w:tcPr>
            <w:tcMar>
              <w:top w:w="57.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the top three bands: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44.8%</w:t>
            </w:r>
          </w:p>
        </w:tc>
      </w:tr>
      <w:tr>
        <w:trPr>
          <w:cantSplit w:val="0"/>
          <w:trHeight w:val="567" w:hRule="atLeast"/>
          <w:tblHeader w:val="0"/>
        </w:trPr>
        <w:tc>
          <w:tcPr>
            <w:tcMar>
              <w:top w:w="57.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43.9%</w:t>
            </w:r>
          </w:p>
        </w:tc>
      </w:tr>
      <w:tr>
        <w:trPr>
          <w:cantSplit w:val="0"/>
          <w:trHeight w:val="567" w:hRule="atLeast"/>
          <w:tblHeader w:val="0"/>
        </w:trPr>
        <w:tc>
          <w:tcPr>
            <w:tcMar>
              <w:top w:w="57.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54.6%</w:t>
            </w:r>
          </w:p>
        </w:tc>
      </w:tr>
    </w:tbl>
    <w:p w:rsidR="00000000" w:rsidDel="00000000" w:rsidP="00000000" w:rsidRDefault="00000000" w:rsidRPr="00000000" w14:paraId="000000E8">
      <w:pPr>
        <w:spacing w:after="0" w:line="240" w:lineRule="auto"/>
        <w:rPr>
          <w:b w:val="1"/>
          <w:color w:val="000000"/>
        </w:rPr>
      </w:pPr>
      <w:r w:rsidDel="00000000" w:rsidR="00000000" w:rsidRPr="00000000">
        <w:rPr>
          <w:rtl w:val="0"/>
        </w:rPr>
      </w:r>
    </w:p>
    <w:p w:rsidR="00000000" w:rsidDel="00000000" w:rsidP="00000000" w:rsidRDefault="00000000" w:rsidRPr="00000000" w14:paraId="000000E9">
      <w:pPr>
        <w:spacing w:after="0" w:line="240" w:lineRule="auto"/>
        <w:rPr>
          <w:b w:val="1"/>
          <w:color w:val="000000"/>
        </w:rPr>
      </w:pPr>
      <w:r w:rsidDel="00000000" w:rsidR="00000000" w:rsidRPr="00000000">
        <w:rPr>
          <w:rtl w:val="0"/>
        </w:rPr>
      </w:r>
    </w:p>
    <w:p w:rsidR="00000000" w:rsidDel="00000000" w:rsidP="00000000" w:rsidRDefault="00000000" w:rsidRPr="00000000" w14:paraId="000000EA">
      <w:pPr>
        <w:spacing w:after="0" w:line="240" w:lineRule="auto"/>
        <w:rPr>
          <w:b w:val="1"/>
          <w:color w:val="000000"/>
        </w:rPr>
      </w:pPr>
      <w:r w:rsidDel="00000000" w:rsidR="00000000" w:rsidRPr="00000000">
        <w:rPr>
          <w:rtl w:val="0"/>
        </w:rPr>
      </w:r>
    </w:p>
    <w:p w:rsidR="00000000" w:rsidDel="00000000" w:rsidP="00000000" w:rsidRDefault="00000000" w:rsidRPr="00000000" w14:paraId="000000EB">
      <w:pPr>
        <w:spacing w:after="0" w:line="240" w:lineRule="auto"/>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3392806</wp:posOffset>
            </wp:positionH>
            <wp:positionV relativeFrom="paragraph">
              <wp:posOffset>59055</wp:posOffset>
            </wp:positionV>
            <wp:extent cx="3467100" cy="1971675"/>
            <wp:wrapNone/>
            <wp:docPr id="1983185921" name=""/>
            <a:graphic>
              <a:graphicData uri="http://schemas.openxmlformats.org/drawingml/2006/chart">
                <c:chart r:id="rId33"/>
              </a:graphicData>
            </a:graphic>
          </wp:anchor>
        </w:drawing>
      </w:r>
    </w:p>
    <w:tbl>
      <w:tblPr>
        <w:tblStyle w:val="Table13"/>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EC">
            <w:pPr>
              <w:spacing w:after="0" w:line="240" w:lineRule="auto"/>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9</w:t>
            </w:r>
          </w:p>
        </w:tc>
        <w:tc>
          <w:tcPr>
            <w:vAlign w:val="bottom"/>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(2022)</w:t>
            </w:r>
          </w:p>
        </w:tc>
      </w:tr>
      <w:tr>
        <w:trPr>
          <w:cantSplit w:val="0"/>
          <w:trHeight w:val="567" w:hRule="atLeast"/>
          <w:tblHeader w:val="0"/>
        </w:trPr>
        <w:tc>
          <w:tcPr>
            <w:tcMar>
              <w:top w:w="57.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the top three bands: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28.5%</w:t>
            </w:r>
          </w:p>
        </w:tc>
      </w:tr>
      <w:tr>
        <w:trPr>
          <w:cantSplit w:val="0"/>
          <w:trHeight w:val="567" w:hRule="atLeast"/>
          <w:tblHeader w:val="0"/>
        </w:trPr>
        <w:tc>
          <w:tcPr>
            <w:tcMar>
              <w:top w:w="57.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36.1%</w:t>
            </w:r>
          </w:p>
        </w:tc>
      </w:tr>
      <w:tr>
        <w:trPr>
          <w:cantSplit w:val="0"/>
          <w:trHeight w:val="567" w:hRule="atLeast"/>
          <w:tblHeader w:val="0"/>
        </w:trPr>
        <w:tc>
          <w:tcPr>
            <w:tcMar>
              <w:top w:w="57.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47.2%</w:t>
            </w:r>
          </w:p>
        </w:tc>
      </w:tr>
    </w:tbl>
    <w:p w:rsidR="00000000" w:rsidDel="00000000" w:rsidP="00000000" w:rsidRDefault="00000000" w:rsidRPr="00000000" w14:paraId="000000F5">
      <w:pPr>
        <w:spacing w:after="0" w:line="240" w:lineRule="auto"/>
        <w:rPr>
          <w:color w:val="000000"/>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3392805</wp:posOffset>
            </wp:positionH>
            <wp:positionV relativeFrom="paragraph">
              <wp:posOffset>179070</wp:posOffset>
            </wp:positionV>
            <wp:extent cx="3467100" cy="1933575"/>
            <wp:wrapNone/>
            <wp:docPr id="1983185910" name=""/>
            <a:graphic>
              <a:graphicData uri="http://schemas.openxmlformats.org/drawingml/2006/chart">
                <c:chart r:id="rId34"/>
              </a:graphicData>
            </a:graphic>
          </wp:anchor>
        </w:drawing>
      </w:r>
    </w:p>
    <w:tbl>
      <w:tblPr>
        <w:tblStyle w:val="Table14"/>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0F8">
            <w:pPr>
              <w:spacing w:after="0" w:line="240" w:lineRule="auto"/>
              <w:rPr>
                <w:b w:val="1"/>
                <w:color w:val="000000"/>
              </w:rPr>
            </w:pPr>
            <w:r w:rsidDel="00000000" w:rsidR="00000000" w:rsidRPr="00000000">
              <w:rPr>
                <w:b w:val="1"/>
                <w:color w:val="000000"/>
                <w:rtl w:val="0"/>
              </w:rPr>
              <w:t xml:space="preserve">Numeracy</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7</w:t>
            </w:r>
          </w:p>
        </w:tc>
        <w:tc>
          <w:tcPr>
            <w:vAlign w:val="bottom"/>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(2022)</w:t>
            </w:r>
          </w:p>
        </w:tc>
      </w:tr>
      <w:tr>
        <w:trPr>
          <w:cantSplit w:val="0"/>
          <w:trHeight w:val="567" w:hRule="atLeast"/>
          <w:tblHeader w:val="0"/>
        </w:trPr>
        <w:tc>
          <w:tcPr>
            <w:tcMar>
              <w:top w:w="57.0" w:type="dxa"/>
            </w:tcM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the top three bands: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36.6%</w:t>
            </w:r>
          </w:p>
        </w:tc>
      </w:tr>
      <w:tr>
        <w:trPr>
          <w:cantSplit w:val="0"/>
          <w:trHeight w:val="567" w:hRule="atLeast"/>
          <w:tblHeader w:val="0"/>
        </w:trPr>
        <w:tc>
          <w:tcPr>
            <w:tcMar>
              <w:top w:w="57.0" w:type="dxa"/>
            </w:tcM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41.5%</w:t>
            </w:r>
          </w:p>
        </w:tc>
      </w:tr>
      <w:tr>
        <w:trPr>
          <w:cantSplit w:val="0"/>
          <w:trHeight w:val="567" w:hRule="atLeast"/>
          <w:tblHeader w:val="0"/>
        </w:trPr>
        <w:tc>
          <w:tcPr>
            <w:tcMar>
              <w:top w:w="57.0" w:type="dxa"/>
            </w:tcM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52.5%</w:t>
            </w:r>
          </w:p>
        </w:tc>
      </w:tr>
    </w:tb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3392805</wp:posOffset>
            </wp:positionH>
            <wp:positionV relativeFrom="paragraph">
              <wp:posOffset>179071</wp:posOffset>
            </wp:positionV>
            <wp:extent cx="3467100" cy="1943100"/>
            <wp:wrapNone/>
            <wp:docPr id="1983185906" name=""/>
            <a:graphic>
              <a:graphicData uri="http://schemas.openxmlformats.org/drawingml/2006/chart">
                <c:chart r:id="rId35"/>
              </a:graphicData>
            </a:graphic>
          </wp:anchor>
        </w:drawing>
      </w:r>
    </w:p>
    <w:tbl>
      <w:tblPr>
        <w:tblStyle w:val="Table15"/>
        <w:tblW w:w="3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tblGridChange w:id="0">
          <w:tblGrid>
            <w:gridCol w:w="2835"/>
            <w:gridCol w:w="1131"/>
          </w:tblGrid>
        </w:tblGridChange>
      </w:tblGrid>
      <w:tr>
        <w:trPr>
          <w:cantSplit w:val="0"/>
          <w:tblHeader w:val="0"/>
        </w:trPr>
        <w:tc>
          <w:tcPr>
            <w:vAlign w:val="bottom"/>
          </w:tcPr>
          <w:p w:rsidR="00000000" w:rsidDel="00000000" w:rsidP="00000000" w:rsidRDefault="00000000" w:rsidRPr="00000000" w14:paraId="00000103">
            <w:pPr>
              <w:spacing w:after="0" w:line="240" w:lineRule="auto"/>
              <w:rPr>
                <w:b w:val="1"/>
                <w:color w:val="000000"/>
              </w:rPr>
            </w:pPr>
            <w:r w:rsidDel="00000000" w:rsidR="00000000" w:rsidRPr="00000000">
              <w:rPr>
                <w:b w:val="1"/>
                <w:color w:val="000000"/>
                <w:rtl w:val="0"/>
              </w:rPr>
              <w:t xml:space="preserve">Numeracy</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9</w:t>
            </w:r>
          </w:p>
        </w:tc>
        <w:tc>
          <w:tcPr>
            <w:vAlign w:val="bottom"/>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(2022)</w:t>
            </w:r>
          </w:p>
        </w:tc>
      </w:tr>
      <w:tr>
        <w:trPr>
          <w:cantSplit w:val="0"/>
          <w:trHeight w:val="567" w:hRule="atLeast"/>
          <w:tblHeader w:val="0"/>
        </w:trPr>
        <w:tc>
          <w:tcPr>
            <w:tcMar>
              <w:top w:w="57.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of students in the top three bands: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25.9%</w:t>
            </w:r>
          </w:p>
        </w:tc>
      </w:tr>
      <w:tr>
        <w:trPr>
          <w:cantSplit w:val="0"/>
          <w:trHeight w:val="567" w:hRule="atLeast"/>
          <w:tblHeader w:val="0"/>
        </w:trPr>
        <w:tc>
          <w:tcPr>
            <w:tcMar>
              <w:top w:w="57.0" w:type="dxa"/>
            </w:tcM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31.8%</w:t>
            </w:r>
          </w:p>
        </w:tc>
      </w:tr>
      <w:tr>
        <w:trPr>
          <w:cantSplit w:val="0"/>
          <w:trHeight w:val="567" w:hRule="atLeast"/>
          <w:tblHeader w:val="0"/>
        </w:trPr>
        <w:tc>
          <w:tcPr>
            <w:tcMar>
              <w:top w:w="57.0" w:type="dxa"/>
            </w:tcM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44.7%</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LEARNING (continued)</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br w:type="textWrapping"/>
        <w:t xml:space="preserve">Victorian Senior Secondary Certificate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2023, the Victorian Curriculum and Assessment Authority introduced the new VCE Vocational Major (VM), a vocational and applied learning program within the VCE designed to be completed over a minimum of two years.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 that as of 2023, the Victorian Senior Secondary Certificate completion rate includes the VCE including the VCE Vocational Major.</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3276600</wp:posOffset>
            </wp:positionH>
            <wp:positionV relativeFrom="paragraph">
              <wp:posOffset>313690</wp:posOffset>
            </wp:positionV>
            <wp:extent cx="3666490" cy="1781175"/>
            <wp:wrapNone/>
            <wp:docPr id="1983185907" name=""/>
            <a:graphic>
              <a:graphicData uri="http://schemas.openxmlformats.org/drawingml/2006/chart">
                <c:chart r:id="rId36"/>
              </a:graphicData>
            </a:graphic>
          </wp:anchor>
        </w:drawing>
      </w:r>
    </w:p>
    <w:tbl>
      <w:tblPr>
        <w:tblStyle w:val="Table16"/>
        <w:tblW w:w="50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4"/>
        <w:gridCol w:w="1129"/>
        <w:tblGridChange w:id="0">
          <w:tblGrid>
            <w:gridCol w:w="2835"/>
            <w:gridCol w:w="1134"/>
            <w:gridCol w:w="1129"/>
          </w:tblGrid>
        </w:tblGridChange>
      </w:tblGrid>
      <w:tr>
        <w:trPr>
          <w:cantSplit w:val="0"/>
          <w:tblHeader w:val="0"/>
        </w:trPr>
        <w:tc>
          <w:tcPr>
            <w:vAlign w:val="bottom"/>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Victorian Senior Secondary Certificate</w:t>
            </w:r>
          </w:p>
        </w:tc>
        <w:tc>
          <w:tcPr>
            <w:vAlign w:val="bottom"/>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c>
          <w:tcPr>
            <w:vAlign w:val="bottom"/>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67" w:hRule="atLeast"/>
          <w:tblHeader w:val="0"/>
        </w:trPr>
        <w:tc>
          <w:tcPr>
            <w:tcMar>
              <w:top w:w="57.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completion rate:</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100.0%</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96.7%</w:t>
            </w:r>
          </w:p>
        </w:tc>
      </w:tr>
      <w:tr>
        <w:trPr>
          <w:cantSplit w:val="0"/>
          <w:trHeight w:val="567" w:hRule="atLeast"/>
          <w:tblHeader w:val="0"/>
        </w:trPr>
        <w:tc>
          <w:tcPr>
            <w:tcMar>
              <w:top w:w="57.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completion rate: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95.7%</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96.3%</w:t>
            </w:r>
          </w:p>
        </w:tc>
      </w:tr>
      <w:tr>
        <w:trPr>
          <w:cantSplit w:val="0"/>
          <w:trHeight w:val="567" w:hRule="atLeast"/>
          <w:tblHeader w:val="0"/>
        </w:trPr>
        <w:tc>
          <w:tcPr>
            <w:tcMar>
              <w:top w:w="57.0" w:type="dxa"/>
            </w:tcM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completion rate:</w:t>
            </w:r>
          </w:p>
        </w:tc>
        <w:tc>
          <w:tcPr>
            <w:tcBorders>
              <w:top w:color="ffffff" w:space="0" w:sz="4" w:val="single"/>
            </w:tcBorders>
            <w:shd w:fill="a6a6a6" w:val="clear"/>
            <w:tcMar>
              <w:top w:w="57.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96.6%</w:t>
            </w:r>
          </w:p>
        </w:tc>
        <w:tc>
          <w:tcPr>
            <w:tcBorders>
              <w:top w:color="ffffff" w:space="0" w:sz="4" w:val="single"/>
            </w:tcBorders>
            <w:shd w:fill="a6a6a6" w:val="clear"/>
            <w:tcMar>
              <w:top w:w="57.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97.1%</w:t>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7"/>
        <w:tblW w:w="87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94"/>
        <w:gridCol w:w="2438"/>
        <w:tblGridChange w:id="0">
          <w:tblGrid>
            <w:gridCol w:w="6294"/>
            <w:gridCol w:w="2438"/>
          </w:tblGrid>
        </w:tblGridChange>
      </w:tblGrid>
      <w:tr>
        <w:trPr>
          <w:cantSplit w:val="0"/>
          <w:trHeight w:val="567" w:hRule="atLeast"/>
          <w:tblHeader w:val="0"/>
        </w:trPr>
        <w:tc>
          <w:tcPr>
            <w:tcMar>
              <w:top w:w="57.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Mean study score from all VCE subjects: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28.9</w:t>
            </w:r>
          </w:p>
        </w:tc>
      </w:tr>
      <w:tr>
        <w:trPr>
          <w:cantSplit w:val="0"/>
          <w:trHeight w:val="567" w:hRule="atLeast"/>
          <w:tblHeader w:val="0"/>
        </w:trPr>
        <w:tc>
          <w:tcPr>
            <w:tcMar>
              <w:top w:w="57.0" w:type="dxa"/>
            </w:tcM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Number of students awarded the VCE Vocational Major</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28</w:t>
            </w:r>
          </w:p>
        </w:tc>
      </w:tr>
      <w:tr>
        <w:trPr>
          <w:cantSplit w:val="0"/>
          <w:trHeight w:val="567" w:hRule="atLeast"/>
          <w:tblHeader w:val="0"/>
        </w:trPr>
        <w:tc>
          <w:tcPr>
            <w:tcMar>
              <w:top w:w="57.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Number of students awarded the Victorian Pathways Certificate</w:t>
            </w:r>
          </w:p>
        </w:tc>
        <w:tc>
          <w:tcPr>
            <w:tcBorders>
              <w:top w:color="ffffff" w:space="0" w:sz="4" w:val="single"/>
              <w:bottom w:color="ffffff" w:space="0" w:sz="4" w:val="single"/>
            </w:tcBorders>
            <w:shd w:fill="ffc000" w:val="clear"/>
            <w:tcMar>
              <w:top w:w="57.0" w:type="dxa"/>
            </w:tcM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NDP</w:t>
            </w:r>
          </w:p>
        </w:tc>
      </w:tr>
      <w:tr>
        <w:trPr>
          <w:cantSplit w:val="0"/>
          <w:trHeight w:val="567" w:hRule="atLeast"/>
          <w:tblHeader w:val="0"/>
        </w:trPr>
        <w:tc>
          <w:tcPr>
            <w:tcMar>
              <w:top w:w="57.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Year 12 students in 2023 undertaking at least one Vocational Education and Training (VET) unit of competence:</w:t>
            </w:r>
          </w:p>
        </w:tc>
        <w:tc>
          <w:tcPr>
            <w:tcBorders>
              <w:top w:color="ffffff" w:space="0" w:sz="4" w:val="single"/>
              <w:bottom w:color="ffffff" w:space="0" w:sz="4" w:val="single"/>
            </w:tcBorders>
            <w:shd w:fill="ffc000" w:val="clear"/>
            <w:tcMar>
              <w:top w:w="57.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48%</w:t>
            </w:r>
          </w:p>
        </w:tc>
      </w:tr>
      <w:tr>
        <w:trPr>
          <w:cantSplit w:val="0"/>
          <w:trHeight w:val="567" w:hRule="atLeast"/>
          <w:tblHeader w:val="0"/>
        </w:trPr>
        <w:tc>
          <w:tcPr>
            <w:tcMar>
              <w:top w:w="57.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VET units of competence satisfactorily completed in 2023:</w:t>
            </w:r>
          </w:p>
        </w:tc>
        <w:tc>
          <w:tcPr>
            <w:tcBorders>
              <w:top w:color="ffffff" w:space="0" w:sz="4" w:val="single"/>
            </w:tcBorders>
            <w:shd w:fill="ffc000" w:val="clear"/>
            <w:tcMar>
              <w:top w:w="57.0" w:type="dxa"/>
            </w:tcM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85%</w:t>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6829425" cy="400050"/>
                <wp:effectExtent b="0" l="0" r="0" t="0"/>
                <wp:wrapNone/>
                <wp:docPr id="1983185936" name=""/>
                <a:graphic>
                  <a:graphicData uri="http://schemas.microsoft.com/office/word/2010/wordprocessingShape">
                    <wps:wsp>
                      <wps:cNvSpPr/>
                      <wps:cNvPr id="15" name="Shape 15"/>
                      <wps:spPr>
                        <a:xfrm>
                          <a:off x="1936050" y="3584738"/>
                          <a:ext cx="6819900" cy="390525"/>
                        </a:xfrm>
                        <a:prstGeom prst="rect">
                          <a:avLst/>
                        </a:prstGeom>
                        <a:solidFill>
                          <a:schemeClr val="lt1"/>
                        </a:solidFill>
                        <a:ln>
                          <a:noFill/>
                        </a:ln>
                      </wps:spPr>
                      <wps:txbx>
                        <w:txbxContent>
                          <w:p w:rsidR="00000000" w:rsidDel="00000000" w:rsidP="00000000" w:rsidRDefault="00000000" w:rsidRPr="00000000">
                            <w:pPr>
                              <w:spacing w:after="120" w:before="0" w:line="240"/>
                              <w:ind w:left="141.99999809265137"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6829425" cy="400050"/>
                <wp:effectExtent b="0" l="0" r="0" t="0"/>
                <wp:wrapNone/>
                <wp:docPr id="1983185936"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6829425" cy="400050"/>
                        </a:xfrm>
                        <a:prstGeom prst="rect"/>
                        <a:ln/>
                      </pic:spPr>
                    </pic:pic>
                  </a:graphicData>
                </a:graphic>
              </wp:anchor>
            </w:drawing>
          </mc:Fallback>
        </mc:AlternateContent>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pPr>
      <w:r w:rsidDel="00000000" w:rsidR="00000000" w:rsidRPr="00000000">
        <w:rPr>
          <w:rtl w:val="0"/>
        </w:rPr>
      </w:r>
    </w:p>
    <w:p w:rsidR="00000000" w:rsidDel="00000000" w:rsidP="00000000" w:rsidRDefault="00000000" w:rsidRPr="00000000" w14:paraId="00000132">
      <w:pPr>
        <w:spacing w:after="0" w:line="240" w:lineRule="auto"/>
        <w:rPr/>
      </w:pPr>
      <w:r w:rsidDel="00000000" w:rsidR="00000000" w:rsidRPr="00000000">
        <w:rPr>
          <w:rtl w:val="0"/>
        </w:rPr>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r>
    </w:p>
    <w:p w:rsidR="00000000" w:rsidDel="00000000" w:rsidP="00000000" w:rsidRDefault="00000000" w:rsidRPr="00000000" w14:paraId="00000135">
      <w:pPr>
        <w:spacing w:after="0" w:line="240" w:lineRule="auto"/>
        <w:rPr/>
      </w:pPr>
      <w:r w:rsidDel="00000000" w:rsidR="00000000" w:rsidRPr="00000000">
        <w:rPr>
          <w:rtl w:val="0"/>
        </w:rPr>
      </w:r>
    </w:p>
    <w:p w:rsidR="00000000" w:rsidDel="00000000" w:rsidP="00000000" w:rsidRDefault="00000000" w:rsidRPr="00000000" w14:paraId="00000136">
      <w:pPr>
        <w:spacing w:after="0" w:line="240" w:lineRule="auto"/>
        <w:rPr/>
      </w:pPr>
      <w:r w:rsidDel="00000000" w:rsidR="00000000" w:rsidRPr="00000000">
        <w:rPr>
          <w:rtl w:val="0"/>
        </w:rPr>
      </w:r>
    </w:p>
    <w:p w:rsidR="00000000" w:rsidDel="00000000" w:rsidP="00000000" w:rsidRDefault="00000000" w:rsidRPr="00000000" w14:paraId="00000137">
      <w:pPr>
        <w:spacing w:after="0" w:line="240" w:lineRule="auto"/>
        <w:rPr/>
      </w:pPr>
      <w:r w:rsidDel="00000000" w:rsidR="00000000" w:rsidRPr="00000000">
        <w:rPr>
          <w:rtl w:val="0"/>
        </w:rPr>
      </w:r>
    </w:p>
    <w:p w:rsidR="00000000" w:rsidDel="00000000" w:rsidP="00000000" w:rsidRDefault="00000000" w:rsidRPr="00000000" w14:paraId="00000138">
      <w:pPr>
        <w:spacing w:after="0" w:line="240" w:lineRule="auto"/>
        <w:rPr/>
      </w:pPr>
      <w:r w:rsidDel="00000000" w:rsidR="00000000" w:rsidRPr="00000000">
        <w:rPr>
          <w:rtl w:val="0"/>
        </w:rPr>
      </w:r>
    </w:p>
    <w:p w:rsidR="00000000" w:rsidDel="00000000" w:rsidP="00000000" w:rsidRDefault="00000000" w:rsidRPr="00000000" w14:paraId="00000139">
      <w:pPr>
        <w:spacing w:after="0" w:line="240" w:lineRule="auto"/>
        <w:rPr/>
      </w:pPr>
      <w:r w:rsidDel="00000000" w:rsidR="00000000" w:rsidRPr="00000000">
        <w:rPr>
          <w:rtl w:val="0"/>
        </w:rPr>
      </w:r>
    </w:p>
    <w:p w:rsidR="00000000" w:rsidDel="00000000" w:rsidP="00000000" w:rsidRDefault="00000000" w:rsidRPr="00000000" w14:paraId="0000013A">
      <w:pPr>
        <w:spacing w:after="0" w:line="240" w:lineRule="auto"/>
        <w:rPr/>
      </w:pPr>
      <w:r w:rsidDel="00000000" w:rsidR="00000000" w:rsidRPr="00000000">
        <w:rPr>
          <w:rtl w:val="0"/>
        </w:rPr>
      </w:r>
    </w:p>
    <w:p w:rsidR="00000000" w:rsidDel="00000000" w:rsidP="00000000" w:rsidRDefault="00000000" w:rsidRPr="00000000" w14:paraId="0000013B">
      <w:pPr>
        <w:spacing w:after="0" w:line="240" w:lineRule="auto"/>
        <w:rPr/>
      </w:pPr>
      <w:r w:rsidDel="00000000" w:rsidR="00000000" w:rsidRPr="00000000">
        <w:rPr>
          <w:rtl w:val="0"/>
        </w:rPr>
      </w:r>
    </w:p>
    <w:p w:rsidR="00000000" w:rsidDel="00000000" w:rsidP="00000000" w:rsidRDefault="00000000" w:rsidRPr="00000000" w14:paraId="0000013C">
      <w:pPr>
        <w:spacing w:after="0" w:line="240" w:lineRule="auto"/>
        <w:rPr/>
      </w:pPr>
      <w:r w:rsidDel="00000000" w:rsidR="00000000" w:rsidRPr="00000000">
        <w:rPr>
          <w:rtl w:val="0"/>
        </w:rPr>
      </w:r>
    </w:p>
    <w:p w:rsidR="00000000" w:rsidDel="00000000" w:rsidP="00000000" w:rsidRDefault="00000000" w:rsidRPr="00000000" w14:paraId="0000013D">
      <w:pPr>
        <w:spacing w:after="0" w:line="240" w:lineRule="auto"/>
        <w:rPr/>
      </w:pPr>
      <w:r w:rsidDel="00000000" w:rsidR="00000000" w:rsidRPr="00000000">
        <w:rPr>
          <w:rtl w:val="0"/>
        </w:rPr>
      </w:r>
    </w:p>
    <w:p w:rsidR="00000000" w:rsidDel="00000000" w:rsidP="00000000" w:rsidRDefault="00000000" w:rsidRPr="00000000" w14:paraId="0000013E">
      <w:pPr>
        <w:spacing w:after="0" w:line="240" w:lineRule="auto"/>
        <w:rPr/>
      </w:pPr>
      <w:r w:rsidDel="00000000" w:rsidR="00000000" w:rsidRPr="00000000">
        <w:rPr>
          <w:rtl w:val="0"/>
        </w:rPr>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r>
    </w:p>
    <w:p w:rsidR="00000000" w:rsidDel="00000000" w:rsidP="00000000" w:rsidRDefault="00000000" w:rsidRPr="00000000" w14:paraId="00000141">
      <w:pPr>
        <w:spacing w:after="0" w:line="240" w:lineRule="auto"/>
        <w:rPr/>
      </w:pPr>
      <w:r w:rsidDel="00000000" w:rsidR="00000000" w:rsidRPr="00000000">
        <w:rPr>
          <w:rtl w:val="0"/>
        </w:rPr>
      </w:r>
    </w:p>
    <w:p w:rsidR="00000000" w:rsidDel="00000000" w:rsidP="00000000" w:rsidRDefault="00000000" w:rsidRPr="00000000" w14:paraId="00000142">
      <w:pPr>
        <w:spacing w:after="0" w:line="240" w:lineRule="auto"/>
        <w:rPr/>
      </w:pPr>
      <w:r w:rsidDel="00000000" w:rsidR="00000000" w:rsidRPr="00000000">
        <w:rPr>
          <w:rtl w:val="0"/>
        </w:rPr>
      </w:r>
    </w:p>
    <w:p w:rsidR="00000000" w:rsidDel="00000000" w:rsidP="00000000" w:rsidRDefault="00000000" w:rsidRPr="00000000" w14:paraId="00000143">
      <w:pPr>
        <w:spacing w:after="0" w:line="240" w:lineRule="auto"/>
        <w:rPr/>
      </w:pPr>
      <w:r w:rsidDel="00000000" w:rsidR="00000000" w:rsidRPr="00000000">
        <w:rPr>
          <w:rtl w:val="0"/>
        </w:rPr>
      </w:r>
    </w:p>
    <w:p w:rsidR="00000000" w:rsidDel="00000000" w:rsidP="00000000" w:rsidRDefault="00000000" w:rsidRPr="00000000" w14:paraId="00000144">
      <w:pPr>
        <w:spacing w:after="0" w:line="240" w:lineRule="auto"/>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WELLBEING</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 Attitudes to School – Sense of Connectedness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percentage endorsement on Sense of Connectedness factor, as reported in the Attitudes to School Survey completed annually by Victorian government school students, indicates the percent of positive responses (agree or strongly agree).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3364229</wp:posOffset>
            </wp:positionH>
            <wp:positionV relativeFrom="paragraph">
              <wp:posOffset>172720</wp:posOffset>
            </wp:positionV>
            <wp:extent cx="3514725" cy="1876425"/>
            <wp:wrapNone/>
            <wp:docPr id="1983185914" name=""/>
            <a:graphic>
              <a:graphicData uri="http://schemas.openxmlformats.org/drawingml/2006/chart">
                <c:chart r:id="rId38"/>
              </a:graphicData>
            </a:graphic>
          </wp:anchor>
        </w:drawing>
      </w:r>
    </w:p>
    <w:tbl>
      <w:tblPr>
        <w:tblStyle w:val="Table18"/>
        <w:tblW w:w="5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4"/>
        <w:gridCol w:w="1060"/>
        <w:tblGridChange w:id="0">
          <w:tblGrid>
            <w:gridCol w:w="2835"/>
            <w:gridCol w:w="1134"/>
            <w:gridCol w:w="1060"/>
          </w:tblGrid>
        </w:tblGridChange>
      </w:tblGrid>
      <w:tr>
        <w:trPr>
          <w:cantSplit w:val="0"/>
          <w:tblHeader w:val="0"/>
        </w:trPr>
        <w:tc>
          <w:tcPr>
            <w:vAlign w:val="bottom"/>
          </w:tcPr>
          <w:p w:rsidR="00000000" w:rsidDel="00000000" w:rsidP="00000000" w:rsidRDefault="00000000" w:rsidRPr="00000000" w14:paraId="0000014B">
            <w:pPr>
              <w:spacing w:after="0" w:line="240" w:lineRule="auto"/>
              <w:rPr>
                <w:b w:val="1"/>
                <w:color w:val="000000"/>
              </w:rPr>
            </w:pPr>
            <w:r w:rsidDel="00000000" w:rsidR="00000000" w:rsidRPr="00000000">
              <w:rPr>
                <w:b w:val="1"/>
                <w:color w:val="000000"/>
                <w:rtl w:val="0"/>
              </w:rPr>
              <w:t xml:space="preserve">Sense of Connectedness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7 to 12</w:t>
            </w:r>
          </w:p>
        </w:tc>
        <w:tc>
          <w:tcPr>
            <w:vAlign w:val="bottom"/>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c>
          <w:tcPr>
            <w:vAlign w:val="bottom"/>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67" w:hRule="atLeast"/>
          <w:tblHeader w:val="0"/>
        </w:trPr>
        <w:tc>
          <w:tcPr>
            <w:tcMar>
              <w:top w:w="57.0" w:type="dxa"/>
            </w:tcM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endorsement:</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49.9%</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55.7%</w:t>
            </w:r>
          </w:p>
        </w:tc>
      </w:tr>
      <w:tr>
        <w:trPr>
          <w:cantSplit w:val="0"/>
          <w:trHeight w:val="567" w:hRule="atLeast"/>
          <w:tblHeader w:val="0"/>
        </w:trPr>
        <w:tc>
          <w:tcPr>
            <w:tcMar>
              <w:top w:w="57.0" w:type="dxa"/>
            </w:tcM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46.2%</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50.8%</w:t>
            </w:r>
          </w:p>
        </w:tc>
      </w:tr>
      <w:tr>
        <w:trPr>
          <w:cantSplit w:val="0"/>
          <w:trHeight w:val="567" w:hRule="atLeast"/>
          <w:tblHeader w:val="0"/>
        </w:trPr>
        <w:tc>
          <w:tcPr>
            <w:tcMar>
              <w:top w:w="57.0" w:type="dxa"/>
            </w:tcM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45.3%</w:t>
            </w:r>
          </w:p>
        </w:tc>
        <w:tc>
          <w:tcPr>
            <w:tcBorders>
              <w:top w:color="ffffff" w:space="0" w:sz="4" w:val="single"/>
            </w:tcBorders>
            <w:shd w:fill="a6a6a6" w:val="clear"/>
            <w:tcMar>
              <w:top w:w="57.0" w:type="dxa"/>
            </w:tcM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49.9%</w:t>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95700" cy="866775"/>
                <wp:effectExtent b="0" l="0" r="0" t="0"/>
                <wp:wrapNone/>
                <wp:docPr id="1983185929" name=""/>
                <a:graphic>
                  <a:graphicData uri="http://schemas.microsoft.com/office/word/2010/wordprocessingShape">
                    <wps:wsp>
                      <wps:cNvSpPr/>
                      <wps:cNvPr id="8" name="Shape 8"/>
                      <wps:spPr>
                        <a:xfrm>
                          <a:off x="3502913" y="3351375"/>
                          <a:ext cx="3686175" cy="857250"/>
                        </a:xfrm>
                        <a:prstGeom prst="rect">
                          <a:avLst/>
                        </a:prstGeom>
                        <a:solidFill>
                          <a:schemeClr val="lt1"/>
                        </a:solidFill>
                        <a:ln>
                          <a:noFill/>
                        </a:ln>
                      </wps:spPr>
                      <wps:txbx>
                        <w:txbxContent>
                          <w:p w:rsidR="00000000" w:rsidDel="00000000" w:rsidP="00000000" w:rsidRDefault="00000000" w:rsidRPr="00000000">
                            <w:pPr>
                              <w:spacing w:after="12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95700" cy="866775"/>
                <wp:effectExtent b="0" l="0" r="0" t="0"/>
                <wp:wrapNone/>
                <wp:docPr id="1983185929" name="image10.png"/>
                <a:graphic>
                  <a:graphicData uri="http://schemas.openxmlformats.org/drawingml/2006/picture">
                    <pic:pic>
                      <pic:nvPicPr>
                        <pic:cNvPr id="0" name="image10.png"/>
                        <pic:cNvPicPr preferRelativeResize="0"/>
                      </pic:nvPicPr>
                      <pic:blipFill>
                        <a:blip r:embed="rId37"/>
                        <a:srcRect/>
                        <a:stretch>
                          <a:fillRect/>
                        </a:stretch>
                      </pic:blipFill>
                      <pic:spPr>
                        <a:xfrm>
                          <a:off x="0" y="0"/>
                          <a:ext cx="3695700" cy="866775"/>
                        </a:xfrm>
                        <a:prstGeom prst="rect"/>
                        <a:ln/>
                      </pic:spPr>
                    </pic:pic>
                  </a:graphicData>
                </a:graphic>
              </wp:anchor>
            </w:drawing>
          </mc:Fallback>
        </mc:AlternateConten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 Attitudes to School – Management of Bullying</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percentage endorsement on Management of Bullying factor, as reported in the Attitudes to School Survey completed annually by Victorian government school students, indicates the percent of positive responses (agree or strongly agree).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3364229</wp:posOffset>
            </wp:positionH>
            <wp:positionV relativeFrom="paragraph">
              <wp:posOffset>167005</wp:posOffset>
            </wp:positionV>
            <wp:extent cx="3514725" cy="1876425"/>
            <wp:wrapNone/>
            <wp:docPr id="1983185911" name=""/>
            <a:graphic>
              <a:graphicData uri="http://schemas.openxmlformats.org/drawingml/2006/chart">
                <c:chart r:id="rId39"/>
              </a:graphicData>
            </a:graphic>
          </wp:anchor>
        </w:drawing>
      </w:r>
    </w:p>
    <w:tbl>
      <w:tblPr>
        <w:tblStyle w:val="Table19"/>
        <w:tblW w:w="5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4"/>
        <w:gridCol w:w="1060"/>
        <w:tblGridChange w:id="0">
          <w:tblGrid>
            <w:gridCol w:w="2835"/>
            <w:gridCol w:w="1134"/>
            <w:gridCol w:w="1060"/>
          </w:tblGrid>
        </w:tblGridChange>
      </w:tblGrid>
      <w:tr>
        <w:trPr>
          <w:cantSplit w:val="0"/>
          <w:tblHeader w:val="0"/>
        </w:trPr>
        <w:tc>
          <w:tcPr>
            <w:vAlign w:val="bottom"/>
          </w:tcPr>
          <w:p w:rsidR="00000000" w:rsidDel="00000000" w:rsidP="00000000" w:rsidRDefault="00000000" w:rsidRPr="00000000" w14:paraId="00000160">
            <w:pPr>
              <w:spacing w:after="0" w:line="240" w:lineRule="auto"/>
              <w:rPr>
                <w:b w:val="1"/>
                <w:color w:val="000000"/>
              </w:rPr>
            </w:pPr>
            <w:r w:rsidDel="00000000" w:rsidR="00000000" w:rsidRPr="00000000">
              <w:rPr>
                <w:b w:val="1"/>
                <w:color w:val="000000"/>
                <w:rtl w:val="0"/>
              </w:rPr>
              <w:t xml:space="preserve">Management of Bullying</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7 to 12</w:t>
            </w:r>
          </w:p>
        </w:tc>
        <w:tc>
          <w:tcPr>
            <w:vAlign w:val="bottom"/>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c>
          <w:tcPr>
            <w:vAlign w:val="bottom"/>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67" w:hRule="atLeast"/>
          <w:tblHeader w:val="0"/>
        </w:trPr>
        <w:tc>
          <w:tcPr>
            <w:tcMar>
              <w:top w:w="57.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percentage endorsement:</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51.5%</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54.1%</w:t>
            </w:r>
          </w:p>
        </w:tc>
      </w:tr>
      <w:tr>
        <w:trPr>
          <w:cantSplit w:val="0"/>
          <w:trHeight w:val="567" w:hRule="atLeast"/>
          <w:tblHeader w:val="0"/>
        </w:trPr>
        <w:tc>
          <w:tcPr>
            <w:tcMar>
              <w:top w:w="57.0" w:type="dxa"/>
            </w:tcM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48.0%</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51.9%</w:t>
            </w:r>
          </w:p>
        </w:tc>
      </w:tr>
      <w:tr>
        <w:trPr>
          <w:cantSplit w:val="0"/>
          <w:trHeight w:val="567" w:hRule="atLeast"/>
          <w:tblHeader w:val="0"/>
        </w:trPr>
        <w:tc>
          <w:tcPr>
            <w:tcMar>
              <w:top w:w="57.0" w:type="dxa"/>
            </w:tcM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46.6%</w:t>
            </w:r>
          </w:p>
        </w:tc>
        <w:tc>
          <w:tcPr>
            <w:tcBorders>
              <w:top w:color="ffffff" w:space="0" w:sz="4" w:val="single"/>
            </w:tcBorders>
            <w:shd w:fill="a6a6a6" w:val="clear"/>
            <w:tcMar>
              <w:top w:w="57.0" w:type="dxa"/>
            </w:tcM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51.0%</w:t>
            </w:r>
          </w:p>
        </w:tc>
      </w:tr>
    </w:tb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95700" cy="876300"/>
                <wp:effectExtent b="0" l="0" r="0" t="0"/>
                <wp:wrapNone/>
                <wp:docPr id="1983185934" name=""/>
                <a:graphic>
                  <a:graphicData uri="http://schemas.microsoft.com/office/word/2010/wordprocessingShape">
                    <wps:wsp>
                      <wps:cNvSpPr/>
                      <wps:cNvPr id="13" name="Shape 13"/>
                      <wps:spPr>
                        <a:xfrm>
                          <a:off x="3502913" y="3346613"/>
                          <a:ext cx="3686175" cy="866775"/>
                        </a:xfrm>
                        <a:prstGeom prst="rect">
                          <a:avLst/>
                        </a:prstGeom>
                        <a:solidFill>
                          <a:schemeClr val="lt1"/>
                        </a:solidFill>
                        <a:ln>
                          <a:noFill/>
                        </a:ln>
                      </wps:spPr>
                      <wps:txbx>
                        <w:txbxContent>
                          <w:p w:rsidR="00000000" w:rsidDel="00000000" w:rsidP="00000000" w:rsidRDefault="00000000" w:rsidRPr="00000000">
                            <w:pPr>
                              <w:spacing w:after="12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95700" cy="876300"/>
                <wp:effectExtent b="0" l="0" r="0" t="0"/>
                <wp:wrapNone/>
                <wp:docPr id="1983185934"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3695700" cy="876300"/>
                        </a:xfrm>
                        <a:prstGeom prst="rect"/>
                        <a:ln/>
                      </pic:spPr>
                    </pic:pic>
                  </a:graphicData>
                </a:graphic>
              </wp:anchor>
            </w:drawing>
          </mc:Fallback>
        </mc:AlternateConten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F">
      <w:pPr>
        <w:spacing w:after="0" w:line="240" w:lineRule="auto"/>
        <w:rPr>
          <w:smallCaps w:val="1"/>
          <w:sz w:val="20"/>
          <w:szCs w:val="20"/>
        </w:rPr>
      </w:pPr>
      <w:r w:rsidDel="00000000" w:rsidR="00000000" w:rsidRPr="00000000">
        <w:rPr>
          <w:rtl w:val="0"/>
        </w:rPr>
      </w:r>
    </w:p>
    <w:p w:rsidR="00000000" w:rsidDel="00000000" w:rsidP="00000000" w:rsidRDefault="00000000" w:rsidRPr="00000000" w14:paraId="00000170">
      <w:pPr>
        <w:spacing w:after="0" w:line="240" w:lineRule="auto"/>
        <w:rPr>
          <w:smallCaps w:val="1"/>
          <w:sz w:val="20"/>
          <w:szCs w:val="20"/>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r>
    </w:p>
    <w:p w:rsidR="00000000" w:rsidDel="00000000" w:rsidP="00000000" w:rsidRDefault="00000000" w:rsidRPr="00000000" w14:paraId="00000172">
      <w:pPr>
        <w:spacing w:after="0" w:line="240" w:lineRule="auto"/>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r>
    </w:p>
    <w:p w:rsidR="00000000" w:rsidDel="00000000" w:rsidP="00000000" w:rsidRDefault="00000000" w:rsidRPr="00000000" w14:paraId="00000174">
      <w:pPr>
        <w:spacing w:after="0" w:line="240" w:lineRule="auto"/>
        <w:rPr/>
      </w:pPr>
      <w:r w:rsidDel="00000000" w:rsidR="00000000" w:rsidRPr="00000000">
        <w:rPr>
          <w:rtl w:val="0"/>
        </w:rPr>
      </w:r>
    </w:p>
    <w:p w:rsidR="00000000" w:rsidDel="00000000" w:rsidP="00000000" w:rsidRDefault="00000000" w:rsidRPr="00000000" w14:paraId="00000175">
      <w:pPr>
        <w:spacing w:after="0" w:line="240" w:lineRule="auto"/>
        <w:rPr/>
      </w:pPr>
      <w:r w:rsidDel="00000000" w:rsidR="00000000" w:rsidRPr="00000000">
        <w:rPr>
          <w:rtl w:val="0"/>
        </w:rPr>
      </w:r>
    </w:p>
    <w:p w:rsidR="00000000" w:rsidDel="00000000" w:rsidP="00000000" w:rsidRDefault="00000000" w:rsidRPr="00000000" w14:paraId="00000176">
      <w:pPr>
        <w:spacing w:after="0" w:line="240" w:lineRule="auto"/>
        <w:rPr/>
      </w:pPr>
      <w:r w:rsidDel="00000000" w:rsidR="00000000" w:rsidRPr="00000000">
        <w:rPr>
          <w:rtl w:val="0"/>
        </w:rPr>
      </w:r>
    </w:p>
    <w:p w:rsidR="00000000" w:rsidDel="00000000" w:rsidP="00000000" w:rsidRDefault="00000000" w:rsidRPr="00000000" w14:paraId="00000177">
      <w:pPr>
        <w:spacing w:after="0" w:line="240" w:lineRule="auto"/>
        <w:rPr/>
      </w:pPr>
      <w:r w:rsidDel="00000000" w:rsidR="00000000" w:rsidRPr="00000000">
        <w:rPr>
          <w:rtl w:val="0"/>
        </w:rPr>
      </w:r>
    </w:p>
    <w:p w:rsidR="00000000" w:rsidDel="00000000" w:rsidP="00000000" w:rsidRDefault="00000000" w:rsidRPr="00000000" w14:paraId="00000178">
      <w:pPr>
        <w:spacing w:after="0" w:line="240" w:lineRule="auto"/>
        <w:rPr/>
      </w:pPr>
      <w:r w:rsidDel="00000000" w:rsidR="00000000" w:rsidRPr="00000000">
        <w:rPr>
          <w:rtl w:val="0"/>
        </w:rPr>
      </w:r>
    </w:p>
    <w:p w:rsidR="00000000" w:rsidDel="00000000" w:rsidP="00000000" w:rsidRDefault="00000000" w:rsidRPr="00000000" w14:paraId="00000179">
      <w:pPr>
        <w:spacing w:after="0" w:line="240" w:lineRule="auto"/>
        <w:rPr/>
      </w:pPr>
      <w:r w:rsidDel="00000000" w:rsidR="00000000" w:rsidRPr="00000000">
        <w:rPr>
          <w:rtl w:val="0"/>
        </w:rPr>
      </w:r>
    </w:p>
    <w:p w:rsidR="00000000" w:rsidDel="00000000" w:rsidP="00000000" w:rsidRDefault="00000000" w:rsidRPr="00000000" w14:paraId="0000017A">
      <w:pPr>
        <w:spacing w:after="0" w:line="240" w:lineRule="auto"/>
        <w:rPr/>
      </w:pPr>
      <w:r w:rsidDel="00000000" w:rsidR="00000000" w:rsidRPr="00000000">
        <w:rPr>
          <w:rtl w:val="0"/>
        </w:rPr>
      </w:r>
    </w:p>
    <w:p w:rsidR="00000000" w:rsidDel="00000000" w:rsidP="00000000" w:rsidRDefault="00000000" w:rsidRPr="00000000" w14:paraId="0000017B">
      <w:pPr>
        <w:spacing w:after="0" w:line="240" w:lineRule="auto"/>
        <w:rPr/>
      </w:pPr>
      <w:r w:rsidDel="00000000" w:rsidR="00000000" w:rsidRPr="00000000">
        <w:rPr>
          <w:rtl w:val="0"/>
        </w:rPr>
      </w:r>
    </w:p>
    <w:p w:rsidR="00000000" w:rsidDel="00000000" w:rsidP="00000000" w:rsidRDefault="00000000" w:rsidRPr="00000000" w14:paraId="0000017C">
      <w:pPr>
        <w:spacing w:after="0" w:line="240" w:lineRule="auto"/>
        <w:rPr/>
      </w:pPr>
      <w:r w:rsidDel="00000000" w:rsidR="00000000" w:rsidRPr="00000000">
        <w:rPr>
          <w:rtl w:val="0"/>
        </w:rPr>
      </w:r>
    </w:p>
    <w:p w:rsidR="00000000" w:rsidDel="00000000" w:rsidP="00000000" w:rsidRDefault="00000000" w:rsidRPr="00000000" w14:paraId="0000017D">
      <w:pPr>
        <w:spacing w:after="0" w:line="240" w:lineRule="auto"/>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ENGAGEMENT</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Average Number of Student Absence Days</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Absence from school can impact on students’ learning. Common reasons for non-attendance include illness and extended family holidays.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3402330</wp:posOffset>
            </wp:positionH>
            <wp:positionV relativeFrom="paragraph">
              <wp:posOffset>210820</wp:posOffset>
            </wp:positionV>
            <wp:extent cx="3514725" cy="1866900"/>
            <wp:wrapNone/>
            <wp:docPr id="1983185919" name=""/>
            <a:graphic>
              <a:graphicData uri="http://schemas.openxmlformats.org/drawingml/2006/chart">
                <c:chart r:id="rId40"/>
              </a:graphicData>
            </a:graphic>
          </wp:anchor>
        </w:drawing>
      </w:r>
    </w:p>
    <w:tbl>
      <w:tblPr>
        <w:tblStyle w:val="Table20"/>
        <w:tblW w:w="50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131"/>
        <w:gridCol w:w="1132"/>
        <w:tblGridChange w:id="0">
          <w:tblGrid>
            <w:gridCol w:w="2835"/>
            <w:gridCol w:w="1131"/>
            <w:gridCol w:w="1132"/>
          </w:tblGrid>
        </w:tblGridChange>
      </w:tblGrid>
      <w:tr>
        <w:trPr>
          <w:cantSplit w:val="0"/>
          <w:tblHeader w:val="0"/>
        </w:trPr>
        <w:tc>
          <w:tcPr>
            <w:vAlign w:val="bottom"/>
          </w:tcPr>
          <w:p w:rsidR="00000000" w:rsidDel="00000000" w:rsidP="00000000" w:rsidRDefault="00000000" w:rsidRPr="00000000" w14:paraId="00000183">
            <w:pPr>
              <w:spacing w:after="0" w:line="240" w:lineRule="auto"/>
              <w:rPr>
                <w:b w:val="1"/>
                <w:color w:val="000000"/>
              </w:rPr>
            </w:pPr>
            <w:r w:rsidDel="00000000" w:rsidR="00000000" w:rsidRPr="00000000">
              <w:rPr>
                <w:b w:val="1"/>
                <w:color w:val="000000"/>
                <w:rtl w:val="0"/>
              </w:rPr>
              <w:t xml:space="preserve">Student Absence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7 to 12</w:t>
            </w:r>
          </w:p>
        </w:tc>
        <w:tc>
          <w:tcPr>
            <w:vAlign w:val="bottom"/>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c>
          <w:tcPr>
            <w:vAlign w:val="bottom"/>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67" w:hRule="atLeast"/>
          <w:tblHeader w:val="0"/>
        </w:trPr>
        <w:tc>
          <w:tcPr>
            <w:tcMar>
              <w:top w:w="57.0" w:type="dxa"/>
            </w:tcM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average number of absence days:</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19.3</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15.5</w:t>
            </w:r>
          </w:p>
        </w:tc>
      </w:tr>
      <w:tr>
        <w:trPr>
          <w:cantSplit w:val="0"/>
          <w:trHeight w:val="567" w:hRule="atLeast"/>
          <w:tblHeader w:val="0"/>
        </w:trPr>
        <w:tc>
          <w:tcPr>
            <w:tcMar>
              <w:top w:w="57.0" w:type="dxa"/>
            </w:tcM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28.7</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23.7</w:t>
            </w:r>
          </w:p>
        </w:tc>
      </w:tr>
      <w:tr>
        <w:trPr>
          <w:cantSplit w:val="0"/>
          <w:trHeight w:val="567" w:hRule="atLeast"/>
          <w:tblHeader w:val="0"/>
        </w:trPr>
        <w:tc>
          <w:tcPr>
            <w:tcMar>
              <w:top w:w="57.0" w:type="dxa"/>
            </w:tcM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28.4</w:t>
            </w:r>
          </w:p>
        </w:tc>
        <w:tc>
          <w:tcPr>
            <w:tcBorders>
              <w:top w:color="ffffff" w:space="0" w:sz="4" w:val="single"/>
            </w:tcBorders>
            <w:shd w:fill="a6a6a6" w:val="clear"/>
            <w:tcMar>
              <w:top w:w="57.0" w:type="dxa"/>
            </w:tcMa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23.8</w:t>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Attendance Rate (latest year)</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Attendance rate refers to the average proportion of formal school days students in each year level attended.</w:t>
      </w:r>
    </w:p>
    <w:tbl>
      <w:tblPr>
        <w:tblStyle w:val="Table21"/>
        <w:tblW w:w="10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1275"/>
        <w:gridCol w:w="1275"/>
        <w:gridCol w:w="1275"/>
        <w:gridCol w:w="1275"/>
        <w:gridCol w:w="1275"/>
        <w:gridCol w:w="1275"/>
        <w:tblGridChange w:id="0">
          <w:tblGrid>
            <w:gridCol w:w="2835"/>
            <w:gridCol w:w="1275"/>
            <w:gridCol w:w="1275"/>
            <w:gridCol w:w="1275"/>
            <w:gridCol w:w="1275"/>
            <w:gridCol w:w="1275"/>
            <w:gridCol w:w="1275"/>
          </w:tblGrid>
        </w:tblGridChange>
      </w:tblGrid>
      <w:tr>
        <w:trPr>
          <w:cantSplit w:val="0"/>
          <w:tblHeader w:val="0"/>
        </w:trPr>
        <w:tc>
          <w:tcPr>
            <w:vAlign w:val="bottom"/>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7</w:t>
            </w:r>
          </w:p>
        </w:tc>
        <w:tc>
          <w:tcPr>
            <w:vAlign w:val="bottom"/>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8</w:t>
            </w:r>
          </w:p>
        </w:tc>
        <w:tc>
          <w:tcPr>
            <w:vAlign w:val="bottom"/>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9</w:t>
            </w:r>
          </w:p>
        </w:tc>
        <w:tc>
          <w:tcPr>
            <w:vAlign w:val="bottom"/>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10</w:t>
            </w:r>
          </w:p>
        </w:tc>
        <w:tc>
          <w:tcPr>
            <w:vAlign w:val="bottom"/>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11</w:t>
            </w:r>
          </w:p>
        </w:tc>
        <w:tc>
          <w:tcPr>
            <w:vAlign w:val="bottom"/>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 12</w:t>
            </w:r>
          </w:p>
        </w:tc>
      </w:tr>
      <w:tr>
        <w:trPr>
          <w:cantSplit w:val="0"/>
          <w:tblHeader w:val="0"/>
        </w:trPr>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Attendance Rate by year level (2023):</w:t>
            </w:r>
          </w:p>
        </w:tc>
        <w:tc>
          <w:tcPr>
            <w:shd w:fill="ffc000" w:val="clear"/>
            <w:tcMar>
              <w:top w:w="57.0" w:type="dxa"/>
            </w:tcMa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w:t>
            </w:r>
          </w:p>
        </w:tc>
        <w:tc>
          <w:tcPr>
            <w:shd w:fill="ffc000" w:val="clear"/>
            <w:tcMar>
              <w:top w:w="57.0" w:type="dxa"/>
            </w:tcM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89%</w:t>
            </w:r>
          </w:p>
        </w:tc>
        <w:tc>
          <w:tcPr>
            <w:shd w:fill="ffc000" w:val="clear"/>
            <w:tcMar>
              <w:top w:w="57.0" w:type="dxa"/>
            </w:tcM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w:t>
            </w:r>
          </w:p>
        </w:tc>
        <w:tc>
          <w:tcPr>
            <w:shd w:fill="ffc000" w:val="clear"/>
            <w:tcMar>
              <w:top w:w="57.0" w:type="dxa"/>
            </w:tcMa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w:t>
            </w:r>
          </w:p>
        </w:tc>
        <w:tc>
          <w:tcPr>
            <w:shd w:fill="ffc000" w:val="clear"/>
            <w:tcMar>
              <w:top w:w="57.0" w:type="dxa"/>
            </w:tcMa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91%</w:t>
            </w:r>
          </w:p>
        </w:tc>
        <w:tc>
          <w:tcPr>
            <w:shd w:fill="ffc000" w:val="clear"/>
            <w:tcMar>
              <w:top w:w="57.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94%</w:t>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 Retention</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of Year 7 students who remain at the school through to Year 10.</w:t>
      </w:r>
    </w:p>
    <w:tbl>
      <w:tblPr>
        <w:tblStyle w:val="Table22"/>
        <w:tblpPr w:leftFromText="180" w:rightFromText="180" w:topFromText="0" w:bottomFromText="0" w:vertAnchor="text" w:horzAnchor="text" w:tblpX="0" w:tblpY="257"/>
        <w:tblW w:w="5315.99999999999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9"/>
        <w:gridCol w:w="1134"/>
        <w:gridCol w:w="1063"/>
        <w:tblGridChange w:id="0">
          <w:tblGrid>
            <w:gridCol w:w="3119"/>
            <w:gridCol w:w="1134"/>
            <w:gridCol w:w="1063"/>
          </w:tblGrid>
        </w:tblGridChange>
      </w:tblGrid>
      <w:tr>
        <w:trPr>
          <w:cantSplit w:val="0"/>
          <w:tblHeader w:val="0"/>
        </w:trPr>
        <w:tc>
          <w:tcPr>
            <w:vAlign w:val="bottom"/>
          </w:tcPr>
          <w:p w:rsidR="00000000" w:rsidDel="00000000" w:rsidP="00000000" w:rsidRDefault="00000000" w:rsidRPr="00000000" w14:paraId="000001AF">
            <w:pPr>
              <w:spacing w:after="0" w:line="240" w:lineRule="auto"/>
              <w:rPr>
                <w:b w:val="1"/>
                <w:color w:val="000000"/>
              </w:rPr>
            </w:pPr>
            <w:r w:rsidDel="00000000" w:rsidR="00000000" w:rsidRPr="00000000">
              <w:rPr>
                <w:b w:val="1"/>
                <w:color w:val="000000"/>
                <w:rtl w:val="0"/>
              </w:rPr>
              <w:t xml:space="preserve">Student Retention</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 7 to Year 10</w:t>
            </w:r>
          </w:p>
        </w:tc>
        <w:tc>
          <w:tcPr>
            <w:vAlign w:val="bottom"/>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(2023)</w:t>
            </w:r>
          </w:p>
        </w:tc>
        <w:tc>
          <w:tcPr>
            <w:vAlign w:val="bottom"/>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67" w:hRule="atLeast"/>
          <w:tblHeader w:val="0"/>
        </w:trPr>
        <w:tc>
          <w:tcPr>
            <w:tcMar>
              <w:top w:w="57.0" w:type="dxa"/>
            </w:tcMa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 of students retained:</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71.4%</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74.1%</w:t>
            </w:r>
          </w:p>
        </w:tc>
      </w:tr>
      <w:tr>
        <w:trPr>
          <w:cantSplit w:val="0"/>
          <w:trHeight w:val="567" w:hRule="atLeast"/>
          <w:tblHeader w:val="0"/>
        </w:trPr>
        <w:tc>
          <w:tcPr>
            <w:tcMar>
              <w:top w:w="57.0" w:type="dxa"/>
            </w:tcM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73.4%</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74.6%</w:t>
            </w:r>
          </w:p>
        </w:tc>
      </w:tr>
      <w:tr>
        <w:trPr>
          <w:cantSplit w:val="0"/>
          <w:trHeight w:val="567" w:hRule="atLeast"/>
          <w:tblHeader w:val="0"/>
        </w:trPr>
        <w:tc>
          <w:tcPr>
            <w:tcMar>
              <w:top w:w="57.0" w:type="dxa"/>
            </w:tcM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72.6%</w:t>
            </w:r>
          </w:p>
        </w:tc>
        <w:tc>
          <w:tcPr>
            <w:tcBorders>
              <w:top w:color="ffffff" w:space="0" w:sz="4" w:val="single"/>
            </w:tcBorders>
            <w:shd w:fill="a6a6a6" w:val="clear"/>
            <w:tcMar>
              <w:top w:w="57.0" w:type="dxa"/>
            </w:tcM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73.8%</w:t>
            </w:r>
          </w:p>
        </w:tc>
      </w:tr>
    </w:tb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3536950</wp:posOffset>
            </wp:positionH>
            <wp:positionV relativeFrom="paragraph">
              <wp:posOffset>163195</wp:posOffset>
            </wp:positionV>
            <wp:extent cx="3562350" cy="1885950"/>
            <wp:wrapNone/>
            <wp:docPr id="1983185915" name=""/>
            <a:graphic>
              <a:graphicData uri="http://schemas.openxmlformats.org/drawingml/2006/chart">
                <c:chart r:id="rId41"/>
              </a:graphicData>
            </a:graphic>
          </wp:anchor>
        </w:drawing>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ENGAGEMENT (continued)</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Key:</w:t>
        <w:tab/>
        <w:t xml:space="preserve">‘Similar Schools’ are a group of Victorian government schools that are like this school, taking into account the school’s socioeconomic background of students, the number of non-English speaking students and the size and location of the school.</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Students exiting to further studies or full-time employment</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Percentage of students from Years 10 to 12 going on to further studies or full-time employment.</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w:t>
        <w:tab/>
        <w:t xml:space="preserve">This measure refers to data from the year when students exited the school.</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excludes destinations recorded as 'Unknown'.</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3380105</wp:posOffset>
            </wp:positionH>
            <wp:positionV relativeFrom="paragraph">
              <wp:posOffset>156845</wp:posOffset>
            </wp:positionV>
            <wp:extent cx="3524250" cy="2000250"/>
            <wp:wrapNone/>
            <wp:docPr id="1983185918" name=""/>
            <a:graphic>
              <a:graphicData uri="http://schemas.openxmlformats.org/drawingml/2006/chart">
                <c:chart r:id="rId42"/>
              </a:graphicData>
            </a:graphic>
          </wp:anchor>
        </w:drawing>
      </w:r>
    </w:p>
    <w:tbl>
      <w:tblPr>
        <w:tblStyle w:val="Table23"/>
        <w:tblW w:w="531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9"/>
        <w:gridCol w:w="1134"/>
        <w:gridCol w:w="1060"/>
        <w:tblGridChange w:id="0">
          <w:tblGrid>
            <w:gridCol w:w="3119"/>
            <w:gridCol w:w="1134"/>
            <w:gridCol w:w="1060"/>
          </w:tblGrid>
        </w:tblGridChange>
      </w:tblGrid>
      <w:tr>
        <w:trPr>
          <w:cantSplit w:val="0"/>
          <w:tblHeader w:val="0"/>
        </w:trPr>
        <w:tc>
          <w:tcPr>
            <w:vAlign w:val="bottom"/>
          </w:tcPr>
          <w:p w:rsidR="00000000" w:rsidDel="00000000" w:rsidP="00000000" w:rsidRDefault="00000000" w:rsidRPr="00000000" w14:paraId="000001D1">
            <w:pPr>
              <w:spacing w:after="0" w:line="240" w:lineRule="auto"/>
              <w:rPr>
                <w:b w:val="1"/>
                <w:color w:val="000000"/>
              </w:rPr>
            </w:pPr>
            <w:r w:rsidDel="00000000" w:rsidR="00000000" w:rsidRPr="00000000">
              <w:rPr>
                <w:b w:val="1"/>
                <w:color w:val="000000"/>
                <w:rtl w:val="0"/>
              </w:rPr>
              <w:t xml:space="preserve">Student Exits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Years 10 to 12</w:t>
            </w:r>
          </w:p>
        </w:tc>
        <w:tc>
          <w:tcPr>
            <w:vAlign w:val="bottom"/>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Latest year (2022)</w:t>
            </w:r>
          </w:p>
        </w:tc>
        <w:tc>
          <w:tcPr>
            <w:vAlign w:val="bottom"/>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4-year average</w:t>
            </w:r>
          </w:p>
        </w:tc>
      </w:tr>
      <w:tr>
        <w:trPr>
          <w:cantSplit w:val="0"/>
          <w:trHeight w:val="580" w:hRule="atLeast"/>
          <w:tblHeader w:val="0"/>
        </w:trPr>
        <w:tc>
          <w:tcPr>
            <w:tcMar>
              <w:top w:w="57.0" w:type="dxa"/>
            </w:tcM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School percent of students to further studies or full-time employment:</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100.0%</w:t>
            </w:r>
          </w:p>
        </w:tc>
        <w:tc>
          <w:tcPr>
            <w:tcBorders>
              <w:bottom w:color="ffffff" w:space="0" w:sz="4" w:val="single"/>
            </w:tcBorders>
            <w:shd w:fill="ffc000" w:val="clear"/>
            <w:tcMar>
              <w:top w:w="57.0" w:type="dxa"/>
            </w:tcM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95.2%</w:t>
            </w:r>
          </w:p>
        </w:tc>
      </w:tr>
      <w:tr>
        <w:trPr>
          <w:cantSplit w:val="0"/>
          <w:trHeight w:val="567" w:hRule="atLeast"/>
          <w:tblHeader w:val="0"/>
        </w:trPr>
        <w:tc>
          <w:tcPr>
            <w:tcMar>
              <w:top w:w="57.0" w:type="dxa"/>
            </w:tcM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Similar Schools average:</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89.2%</w:t>
            </w:r>
          </w:p>
        </w:tc>
        <w:tc>
          <w:tcPr>
            <w:tcBorders>
              <w:top w:color="ffffff" w:space="0" w:sz="4" w:val="single"/>
              <w:bottom w:color="ffffff" w:space="0" w:sz="4" w:val="single"/>
            </w:tcBorders>
            <w:shd w:fill="7030a0" w:val="clear"/>
            <w:tcMar>
              <w:top w:w="57.0" w:type="dxa"/>
            </w:tcM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90.2%</w:t>
            </w:r>
          </w:p>
        </w:tc>
      </w:tr>
      <w:tr>
        <w:trPr>
          <w:cantSplit w:val="0"/>
          <w:trHeight w:val="567" w:hRule="atLeast"/>
          <w:tblHeader w:val="0"/>
        </w:trPr>
        <w:tc>
          <w:tcPr>
            <w:tcMar>
              <w:top w:w="57.0" w:type="dxa"/>
            </w:tcM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average:</w:t>
            </w:r>
          </w:p>
        </w:tc>
        <w:tc>
          <w:tcPr>
            <w:tcBorders>
              <w:top w:color="ffffff" w:space="0" w:sz="4" w:val="single"/>
            </w:tcBorders>
            <w:shd w:fill="a6a6a6" w:val="clear"/>
            <w:tcMar>
              <w:top w:w="57.0" w:type="dxa"/>
            </w:tcM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89.5%</w:t>
            </w:r>
          </w:p>
        </w:tc>
        <w:tc>
          <w:tcPr>
            <w:tcBorders>
              <w:top w:color="ffffff" w:space="0" w:sz="4" w:val="single"/>
            </w:tcBorders>
            <w:shd w:fill="a6a6a6" w:val="clear"/>
            <w:tcMar>
              <w:top w:w="57.0" w:type="dxa"/>
            </w:tcM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89.5%</w:t>
            </w:r>
          </w:p>
        </w:tc>
      </w:tr>
    </w:tb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44"/>
          <w:szCs w:val="44"/>
          <w:u w:val="none"/>
          <w:shd w:fill="auto" w:val="clear"/>
          <w:vertAlign w:val="baseline"/>
          <w:rtl w:val="0"/>
        </w:rPr>
        <w:t xml:space="preserve">Financial Performance and Position</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Financial Performance - Operating Statement Summary for the year ending 31 December, 2023</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tl w:val="0"/>
        </w:rPr>
      </w:r>
    </w:p>
    <w:tbl>
      <w:tblPr>
        <w:tblStyle w:val="Table24"/>
        <w:tblW w:w="6190.0" w:type="dxa"/>
        <w:jc w:val="center"/>
        <w:tblBorders>
          <w:top w:color="000000" w:space="0" w:sz="0" w:val="nil"/>
          <w:left w:color="000000" w:space="0" w:sz="4" w:val="single"/>
          <w:bottom w:color="000000" w:space="0" w:sz="0" w:val="nil"/>
          <w:right w:color="ffffff" w:space="0" w:sz="4" w:val="single"/>
          <w:insideH w:color="000000" w:space="0" w:sz="0" w:val="nil"/>
          <w:insideV w:color="000000" w:space="0" w:sz="0" w:val="nil"/>
        </w:tblBorders>
        <w:tblLayout w:type="fixed"/>
        <w:tblLook w:val="04A0"/>
      </w:tblPr>
      <w:tblGrid>
        <w:gridCol w:w="4426"/>
        <w:gridCol w:w="1764"/>
        <w:tblGridChange w:id="0">
          <w:tblGrid>
            <w:gridCol w:w="4426"/>
            <w:gridCol w:w="1764"/>
          </w:tblGrid>
        </w:tblGridChange>
      </w:tblGrid>
      <w:tr>
        <w:trPr>
          <w:cantSplit w:val="0"/>
          <w:trHeight w:val="284" w:hRule="atLeast"/>
          <w:tblHeader w:val="1"/>
        </w:trPr>
        <w:tc>
          <w:tcPr>
            <w:tcBorders>
              <w:top w:color="000000" w:space="0" w:sz="0" w:val="nil"/>
              <w:bottom w:color="ffffff" w:space="0" w:sz="4" w:val="single"/>
              <w:right w:color="ffffff" w:space="0" w:sz="4" w:val="single"/>
            </w:tcBorders>
            <w:shd w:fill="a6a6a6" w:val="clear"/>
            <w:vAlign w:val="center"/>
          </w:tcPr>
          <w:bookmarkStart w:colFirst="0" w:colLast="0" w:name="bookmark=id.30j0zll" w:id="1"/>
          <w:bookmarkEnd w:id="1"/>
          <w:p w:rsidR="00000000" w:rsidDel="00000000" w:rsidP="00000000" w:rsidRDefault="00000000" w:rsidRPr="00000000" w14:paraId="000001F9">
            <w:pPr>
              <w:spacing w:after="40" w:before="40" w:line="240" w:lineRule="auto"/>
              <w:rPr/>
            </w:pPr>
            <w:r w:rsidDel="00000000" w:rsidR="00000000" w:rsidRPr="00000000">
              <w:rPr>
                <w:rtl w:val="0"/>
              </w:rPr>
              <w:t xml:space="preserve">Revenue</w:t>
            </w:r>
          </w:p>
        </w:tc>
        <w:tc>
          <w:tcPr>
            <w:tcBorders>
              <w:top w:color="000000" w:space="0" w:sz="0" w:val="nil"/>
              <w:left w:color="ffffff" w:space="0" w:sz="4" w:val="single"/>
              <w:bottom w:color="ffffff" w:space="0" w:sz="4" w:val="single"/>
            </w:tcBorders>
            <w:shd w:fill="ffc000" w:val="clear"/>
            <w:vAlign w:val="center"/>
          </w:tcPr>
          <w:p w:rsidR="00000000" w:rsidDel="00000000" w:rsidP="00000000" w:rsidRDefault="00000000" w:rsidRPr="00000000" w14:paraId="000001FA">
            <w:pPr>
              <w:spacing w:after="40" w:before="40" w:line="240" w:lineRule="auto"/>
              <w:jc w:val="right"/>
              <w:rPr/>
            </w:pPr>
            <w:r w:rsidDel="00000000" w:rsidR="00000000" w:rsidRPr="00000000">
              <w:rPr>
                <w:rtl w:val="0"/>
              </w:rPr>
              <w:t xml:space="preserve">Actual</w:t>
            </w:r>
          </w:p>
        </w:tc>
      </w:tr>
      <w:tr>
        <w:trPr>
          <w:cantSplit w:val="0"/>
          <w:trHeight w:val="284" w:hRule="atLeast"/>
          <w:tblHeader w:val="0"/>
        </w:trPr>
        <w:tc>
          <w:tcPr>
            <w:tcBorders>
              <w:top w:color="ffffff" w:space="0" w:sz="4" w:val="single"/>
            </w:tcBorders>
            <w:shd w:fill="d9d9d9" w:val="clear"/>
            <w:vAlign w:val="center"/>
          </w:tcPr>
          <w:p w:rsidR="00000000" w:rsidDel="00000000" w:rsidP="00000000" w:rsidRDefault="00000000" w:rsidRPr="00000000" w14:paraId="000001FB">
            <w:pPr>
              <w:spacing w:after="40" w:before="40" w:line="240" w:lineRule="auto"/>
              <w:rPr/>
            </w:pPr>
            <w:r w:rsidDel="00000000" w:rsidR="00000000" w:rsidRPr="00000000">
              <w:rPr>
                <w:b w:val="0"/>
                <w:rtl w:val="0"/>
              </w:rPr>
              <w:t xml:space="preserve">Student Resource Package</w:t>
            </w:r>
            <w:r w:rsidDel="00000000" w:rsidR="00000000" w:rsidRPr="00000000">
              <w:rPr>
                <w:rtl w:val="0"/>
              </w:rPr>
            </w:r>
          </w:p>
        </w:tc>
        <w:tc>
          <w:tcPr>
            <w:tcBorders>
              <w:top w:color="ffffff" w:space="0" w:sz="4" w:val="single"/>
            </w:tcBorders>
            <w:shd w:fill="d9d9d9" w:val="clear"/>
            <w:vAlign w:val="center"/>
          </w:tcPr>
          <w:p w:rsidR="00000000" w:rsidDel="00000000" w:rsidP="00000000" w:rsidRDefault="00000000" w:rsidRPr="00000000" w14:paraId="000001FC">
            <w:pPr>
              <w:jc w:val="right"/>
              <w:rPr/>
            </w:pPr>
            <w:r w:rsidDel="00000000" w:rsidR="00000000" w:rsidRPr="00000000">
              <w:rPr>
                <w:rtl w:val="0"/>
              </w:rPr>
              <w:t xml:space="preserve">$13,187,674</w:t>
            </w:r>
          </w:p>
        </w:tc>
      </w:tr>
      <w:tr>
        <w:trPr>
          <w:cantSplit w:val="0"/>
          <w:trHeight w:val="284" w:hRule="atLeast"/>
          <w:tblHeader w:val="0"/>
        </w:trPr>
        <w:tc>
          <w:tcPr>
            <w:shd w:fill="f2f2f2" w:val="clear"/>
            <w:vAlign w:val="center"/>
          </w:tcPr>
          <w:p w:rsidR="00000000" w:rsidDel="00000000" w:rsidP="00000000" w:rsidRDefault="00000000" w:rsidRPr="00000000" w14:paraId="000001FD">
            <w:pPr>
              <w:spacing w:after="40" w:before="40" w:line="240" w:lineRule="auto"/>
              <w:rPr/>
            </w:pPr>
            <w:r w:rsidDel="00000000" w:rsidR="00000000" w:rsidRPr="00000000">
              <w:rPr>
                <w:b w:val="0"/>
                <w:rtl w:val="0"/>
              </w:rPr>
              <w:t xml:space="preserve">Government Provided DET Grants</w:t>
            </w:r>
            <w:r w:rsidDel="00000000" w:rsidR="00000000" w:rsidRPr="00000000">
              <w:rPr>
                <w:rtl w:val="0"/>
              </w:rPr>
            </w:r>
          </w:p>
        </w:tc>
        <w:tc>
          <w:tcPr>
            <w:shd w:fill="f2f2f2" w:val="clear"/>
            <w:vAlign w:val="center"/>
          </w:tcPr>
          <w:p w:rsidR="00000000" w:rsidDel="00000000" w:rsidP="00000000" w:rsidRDefault="00000000" w:rsidRPr="00000000" w14:paraId="000001FE">
            <w:pPr>
              <w:jc w:val="right"/>
              <w:rPr/>
            </w:pPr>
            <w:r w:rsidDel="00000000" w:rsidR="00000000" w:rsidRPr="00000000">
              <w:rPr>
                <w:rtl w:val="0"/>
              </w:rPr>
              <w:t xml:space="preserve">$3,235,518</w:t>
            </w:r>
          </w:p>
        </w:tc>
      </w:tr>
      <w:tr>
        <w:trPr>
          <w:cantSplit w:val="0"/>
          <w:trHeight w:val="284" w:hRule="atLeast"/>
          <w:tblHeader w:val="0"/>
        </w:trPr>
        <w:tc>
          <w:tcPr>
            <w:shd w:fill="d9d9d9" w:val="clear"/>
            <w:vAlign w:val="center"/>
          </w:tcPr>
          <w:p w:rsidR="00000000" w:rsidDel="00000000" w:rsidP="00000000" w:rsidRDefault="00000000" w:rsidRPr="00000000" w14:paraId="000001FF">
            <w:pPr>
              <w:spacing w:after="40" w:before="40" w:line="240" w:lineRule="auto"/>
              <w:rPr/>
            </w:pPr>
            <w:r w:rsidDel="00000000" w:rsidR="00000000" w:rsidRPr="00000000">
              <w:rPr>
                <w:b w:val="0"/>
                <w:rtl w:val="0"/>
              </w:rPr>
              <w:t xml:space="preserve">Government Grants Commonwealth</w:t>
            </w:r>
            <w:r w:rsidDel="00000000" w:rsidR="00000000" w:rsidRPr="00000000">
              <w:rPr>
                <w:rtl w:val="0"/>
              </w:rPr>
            </w:r>
          </w:p>
        </w:tc>
        <w:tc>
          <w:tcPr>
            <w:shd w:fill="d9d9d9" w:val="clear"/>
            <w:vAlign w:val="center"/>
          </w:tcPr>
          <w:p w:rsidR="00000000" w:rsidDel="00000000" w:rsidP="00000000" w:rsidRDefault="00000000" w:rsidRPr="00000000" w14:paraId="00000200">
            <w:pPr>
              <w:jc w:val="right"/>
              <w:rPr/>
            </w:pPr>
            <w:r w:rsidDel="00000000" w:rsidR="00000000" w:rsidRPr="00000000">
              <w:rPr>
                <w:rtl w:val="0"/>
              </w:rPr>
              <w:t xml:space="preserve">$7,876</w:t>
            </w:r>
          </w:p>
        </w:tc>
      </w:tr>
      <w:tr>
        <w:trPr>
          <w:cantSplit w:val="0"/>
          <w:trHeight w:val="284" w:hRule="atLeast"/>
          <w:tblHeader w:val="0"/>
        </w:trPr>
        <w:tc>
          <w:tcPr>
            <w:shd w:fill="f2f2f2" w:val="clear"/>
            <w:vAlign w:val="center"/>
          </w:tcPr>
          <w:p w:rsidR="00000000" w:rsidDel="00000000" w:rsidP="00000000" w:rsidRDefault="00000000" w:rsidRPr="00000000" w14:paraId="00000201">
            <w:pPr>
              <w:spacing w:after="40" w:before="40" w:line="240" w:lineRule="auto"/>
              <w:rPr/>
            </w:pPr>
            <w:r w:rsidDel="00000000" w:rsidR="00000000" w:rsidRPr="00000000">
              <w:rPr>
                <w:b w:val="0"/>
                <w:rtl w:val="0"/>
              </w:rPr>
              <w:t xml:space="preserve">Government Grants State</w:t>
            </w:r>
            <w:r w:rsidDel="00000000" w:rsidR="00000000" w:rsidRPr="00000000">
              <w:rPr>
                <w:rtl w:val="0"/>
              </w:rPr>
            </w:r>
          </w:p>
        </w:tc>
        <w:tc>
          <w:tcPr>
            <w:shd w:fill="f2f2f2" w:val="clear"/>
            <w:vAlign w:val="center"/>
          </w:tcPr>
          <w:p w:rsidR="00000000" w:rsidDel="00000000" w:rsidP="00000000" w:rsidRDefault="00000000" w:rsidRPr="00000000" w14:paraId="00000202">
            <w:pPr>
              <w:jc w:val="right"/>
              <w:rPr/>
            </w:pPr>
            <w:r w:rsidDel="00000000" w:rsidR="00000000" w:rsidRPr="00000000">
              <w:rPr>
                <w:rtl w:val="0"/>
              </w:rPr>
              <w:t xml:space="preserve">$18,238</w:t>
            </w:r>
          </w:p>
        </w:tc>
      </w:tr>
      <w:tr>
        <w:trPr>
          <w:cantSplit w:val="0"/>
          <w:trHeight w:val="284" w:hRule="atLeast"/>
          <w:tblHeader w:val="0"/>
        </w:trPr>
        <w:tc>
          <w:tcPr>
            <w:shd w:fill="d9d9d9" w:val="clear"/>
            <w:vAlign w:val="center"/>
          </w:tcPr>
          <w:p w:rsidR="00000000" w:rsidDel="00000000" w:rsidP="00000000" w:rsidRDefault="00000000" w:rsidRPr="00000000" w14:paraId="00000203">
            <w:pPr>
              <w:spacing w:after="40" w:before="40" w:line="240" w:lineRule="auto"/>
              <w:rPr/>
            </w:pPr>
            <w:r w:rsidDel="00000000" w:rsidR="00000000" w:rsidRPr="00000000">
              <w:rPr>
                <w:b w:val="0"/>
                <w:rtl w:val="0"/>
              </w:rPr>
              <w:t xml:space="preserve">Revenue Other</w:t>
            </w:r>
            <w:r w:rsidDel="00000000" w:rsidR="00000000" w:rsidRPr="00000000">
              <w:rPr>
                <w:rtl w:val="0"/>
              </w:rPr>
            </w:r>
          </w:p>
        </w:tc>
        <w:tc>
          <w:tcPr>
            <w:shd w:fill="d9d9d9" w:val="clear"/>
            <w:vAlign w:val="center"/>
          </w:tcPr>
          <w:p w:rsidR="00000000" w:rsidDel="00000000" w:rsidP="00000000" w:rsidRDefault="00000000" w:rsidRPr="00000000" w14:paraId="00000204">
            <w:pPr>
              <w:jc w:val="right"/>
              <w:rPr/>
            </w:pPr>
            <w:r w:rsidDel="00000000" w:rsidR="00000000" w:rsidRPr="00000000">
              <w:rPr>
                <w:rtl w:val="0"/>
              </w:rPr>
              <w:t xml:space="preserve">$208,146</w:t>
            </w:r>
          </w:p>
        </w:tc>
      </w:tr>
      <w:tr>
        <w:trPr>
          <w:cantSplit w:val="0"/>
          <w:trHeight w:val="284" w:hRule="atLeast"/>
          <w:tblHeader w:val="0"/>
        </w:trPr>
        <w:tc>
          <w:tcPr>
            <w:shd w:fill="f2f2f2" w:val="clear"/>
            <w:vAlign w:val="center"/>
          </w:tcPr>
          <w:p w:rsidR="00000000" w:rsidDel="00000000" w:rsidP="00000000" w:rsidRDefault="00000000" w:rsidRPr="00000000" w14:paraId="00000205">
            <w:pPr>
              <w:spacing w:after="40" w:before="40" w:line="240" w:lineRule="auto"/>
              <w:rPr/>
            </w:pPr>
            <w:r w:rsidDel="00000000" w:rsidR="00000000" w:rsidRPr="00000000">
              <w:rPr>
                <w:b w:val="0"/>
                <w:rtl w:val="0"/>
              </w:rPr>
              <w:t xml:space="preserve">Locally Raised Funds</w:t>
            </w:r>
            <w:r w:rsidDel="00000000" w:rsidR="00000000" w:rsidRPr="00000000">
              <w:rPr>
                <w:rtl w:val="0"/>
              </w:rPr>
            </w:r>
          </w:p>
        </w:tc>
        <w:tc>
          <w:tcPr>
            <w:shd w:fill="f2f2f2" w:val="clear"/>
            <w:vAlign w:val="center"/>
          </w:tcPr>
          <w:p w:rsidR="00000000" w:rsidDel="00000000" w:rsidP="00000000" w:rsidRDefault="00000000" w:rsidRPr="00000000" w14:paraId="00000206">
            <w:pPr>
              <w:jc w:val="right"/>
              <w:rPr/>
            </w:pPr>
            <w:r w:rsidDel="00000000" w:rsidR="00000000" w:rsidRPr="00000000">
              <w:rPr>
                <w:rtl w:val="0"/>
              </w:rPr>
              <w:t xml:space="preserve">$408,355</w:t>
            </w:r>
          </w:p>
        </w:tc>
      </w:tr>
      <w:tr>
        <w:trPr>
          <w:cantSplit w:val="0"/>
          <w:trHeight w:val="284" w:hRule="atLeast"/>
          <w:tblHeader w:val="0"/>
        </w:trPr>
        <w:tc>
          <w:tcPr>
            <w:tcBorders>
              <w:bottom w:color="ffffff" w:space="0" w:sz="4" w:val="single"/>
            </w:tcBorders>
            <w:shd w:fill="d9d9d9" w:val="clear"/>
            <w:vAlign w:val="center"/>
          </w:tcPr>
          <w:p w:rsidR="00000000" w:rsidDel="00000000" w:rsidP="00000000" w:rsidRDefault="00000000" w:rsidRPr="00000000" w14:paraId="00000207">
            <w:pPr>
              <w:spacing w:after="40" w:before="40" w:line="240" w:lineRule="auto"/>
              <w:rPr/>
            </w:pPr>
            <w:r w:rsidDel="00000000" w:rsidR="00000000" w:rsidRPr="00000000">
              <w:rPr>
                <w:b w:val="0"/>
                <w:rtl w:val="0"/>
              </w:rPr>
              <w:t xml:space="preserve">Capital Grants</w:t>
            </w:r>
            <w:r w:rsidDel="00000000" w:rsidR="00000000" w:rsidRPr="00000000">
              <w:rPr>
                <w:rtl w:val="0"/>
              </w:rPr>
            </w:r>
          </w:p>
        </w:tc>
        <w:tc>
          <w:tcPr>
            <w:tcBorders>
              <w:bottom w:color="ffffff" w:space="0" w:sz="4" w:val="single"/>
            </w:tcBorders>
            <w:shd w:fill="d9d9d9" w:val="clear"/>
            <w:vAlign w:val="center"/>
          </w:tcPr>
          <w:p w:rsidR="00000000" w:rsidDel="00000000" w:rsidP="00000000" w:rsidRDefault="00000000" w:rsidRPr="00000000" w14:paraId="00000208">
            <w:pPr>
              <w:jc w:val="right"/>
              <w:rPr/>
            </w:pPr>
            <w:r w:rsidDel="00000000" w:rsidR="00000000" w:rsidRPr="00000000">
              <w:rPr>
                <w:rtl w:val="0"/>
              </w:rPr>
              <w:t xml:space="preserve">$0</w:t>
            </w:r>
          </w:p>
        </w:tc>
      </w:tr>
      <w:tr>
        <w:trPr>
          <w:cantSplit w:val="0"/>
          <w:trHeight w:val="284" w:hRule="atLeast"/>
          <w:tblHeader w:val="0"/>
        </w:trPr>
        <w:tc>
          <w:tcPr>
            <w:tcBorders>
              <w:top w:color="ffffff" w:space="0" w:sz="4" w:val="single"/>
              <w:right w:color="ffffff" w:space="0" w:sz="4" w:val="single"/>
            </w:tcBorders>
            <w:shd w:fill="a6a6a6" w:val="clear"/>
            <w:vAlign w:val="center"/>
          </w:tcPr>
          <w:p w:rsidR="00000000" w:rsidDel="00000000" w:rsidP="00000000" w:rsidRDefault="00000000" w:rsidRPr="00000000" w14:paraId="00000209">
            <w:pPr>
              <w:spacing w:after="40" w:before="40" w:line="240" w:lineRule="auto"/>
              <w:rPr/>
            </w:pPr>
            <w:r w:rsidDel="00000000" w:rsidR="00000000" w:rsidRPr="00000000">
              <w:rPr>
                <w:rtl w:val="0"/>
              </w:rPr>
              <w:t xml:space="preserve">Total Operating Revenue</w:t>
            </w:r>
          </w:p>
        </w:tc>
        <w:tc>
          <w:tcPr>
            <w:tcBorders>
              <w:top w:color="ffffff" w:space="0" w:sz="4" w:val="single"/>
              <w:left w:color="ffffff" w:space="0" w:sz="4" w:val="single"/>
            </w:tcBorders>
            <w:shd w:fill="ffc000" w:val="clear"/>
            <w:vAlign w:val="center"/>
          </w:tcPr>
          <w:p w:rsidR="00000000" w:rsidDel="00000000" w:rsidP="00000000" w:rsidRDefault="00000000" w:rsidRPr="00000000" w14:paraId="0000020A">
            <w:pPr>
              <w:jc w:val="right"/>
              <w:rPr>
                <w:b w:val="1"/>
              </w:rPr>
            </w:pPr>
            <w:r w:rsidDel="00000000" w:rsidR="00000000" w:rsidRPr="00000000">
              <w:rPr>
                <w:b w:val="1"/>
                <w:rtl w:val="0"/>
              </w:rPr>
              <w:t xml:space="preserve">$17,065,807</w:t>
            </w:r>
          </w:p>
        </w:tc>
      </w:tr>
    </w:tb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5"/>
        <w:tblW w:w="6193.0" w:type="dxa"/>
        <w:jc w:val="center"/>
        <w:tblBorders>
          <w:top w:color="ffffff" w:space="0" w:sz="4" w:val="single"/>
          <w:left w:color="000000" w:space="0" w:sz="4" w:val="single"/>
          <w:bottom w:color="ffffff" w:space="0" w:sz="4" w:val="single"/>
          <w:right w:color="000000" w:space="0" w:sz="4" w:val="single"/>
          <w:insideH w:color="ffffff" w:space="0" w:sz="4" w:val="single"/>
          <w:insideV w:color="ffffff" w:space="0" w:sz="4" w:val="single"/>
        </w:tblBorders>
        <w:tblLayout w:type="fixed"/>
        <w:tblLook w:val="04A0"/>
      </w:tblPr>
      <w:tblGrid>
        <w:gridCol w:w="4428"/>
        <w:gridCol w:w="1765"/>
        <w:tblGridChange w:id="0">
          <w:tblGrid>
            <w:gridCol w:w="4428"/>
            <w:gridCol w:w="1765"/>
          </w:tblGrid>
        </w:tblGridChange>
      </w:tblGrid>
      <w:tr>
        <w:trPr>
          <w:cantSplit w:val="0"/>
          <w:trHeight w:val="284" w:hRule="atLeast"/>
          <w:tblHeader w:val="1"/>
        </w:trPr>
        <w:tc>
          <w:tcPr>
            <w:tcBorders>
              <w:bottom w:color="ffffff" w:space="0" w:sz="8" w:val="single"/>
              <w:right w:color="ffffff" w:space="0" w:sz="8" w:val="single"/>
            </w:tcBorders>
            <w:shd w:fill="a6a6a6" w:val="clear"/>
            <w:vAlign w:val="center"/>
          </w:tcPr>
          <w:p w:rsidR="00000000" w:rsidDel="00000000" w:rsidP="00000000" w:rsidRDefault="00000000" w:rsidRPr="00000000" w14:paraId="0000020C">
            <w:pPr>
              <w:spacing w:after="40" w:before="40" w:line="240" w:lineRule="auto"/>
              <w:rPr>
                <w:vertAlign w:val="superscript"/>
              </w:rPr>
            </w:pPr>
            <w:r w:rsidDel="00000000" w:rsidR="00000000" w:rsidRPr="00000000">
              <w:rPr>
                <w:rtl w:val="0"/>
              </w:rPr>
              <w:t xml:space="preserve">Equity </w:t>
            </w:r>
            <w:r w:rsidDel="00000000" w:rsidR="00000000" w:rsidRPr="00000000">
              <w:rPr>
                <w:vertAlign w:val="superscript"/>
                <w:rtl w:val="0"/>
              </w:rPr>
              <w:t xml:space="preserve">1</w:t>
            </w:r>
          </w:p>
        </w:tc>
        <w:tc>
          <w:tcPr>
            <w:tcBorders>
              <w:left w:color="ffffff" w:space="0" w:sz="8" w:val="single"/>
              <w:bottom w:color="ffffff" w:space="0" w:sz="8" w:val="single"/>
            </w:tcBorders>
            <w:shd w:fill="ffc000" w:val="clear"/>
            <w:vAlign w:val="center"/>
          </w:tcPr>
          <w:p w:rsidR="00000000" w:rsidDel="00000000" w:rsidP="00000000" w:rsidRDefault="00000000" w:rsidRPr="00000000" w14:paraId="0000020D">
            <w:pPr>
              <w:spacing w:after="40" w:before="40" w:line="240" w:lineRule="auto"/>
              <w:jc w:val="right"/>
              <w:rPr/>
            </w:pPr>
            <w:r w:rsidDel="00000000" w:rsidR="00000000" w:rsidRPr="00000000">
              <w:rPr>
                <w:rtl w:val="0"/>
              </w:rPr>
              <w:t xml:space="preserve">Actual</w:t>
            </w:r>
          </w:p>
        </w:tc>
      </w:tr>
      <w:tr>
        <w:trPr>
          <w:cantSplit w:val="0"/>
          <w:trHeight w:val="284" w:hRule="atLeast"/>
          <w:tblHeader w:val="0"/>
        </w:trPr>
        <w:tc>
          <w:tcPr>
            <w:tcBorders>
              <w:top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0E">
            <w:pPr>
              <w:spacing w:after="40" w:before="40" w:line="240" w:lineRule="auto"/>
              <w:rPr/>
            </w:pPr>
            <w:r w:rsidDel="00000000" w:rsidR="00000000" w:rsidRPr="00000000">
              <w:rPr>
                <w:b w:val="0"/>
                <w:rtl w:val="0"/>
              </w:rPr>
              <w:t xml:space="preserve">Equity (Social Disadvantage)</w:t>
            </w:r>
            <w:r w:rsidDel="00000000" w:rsidR="00000000" w:rsidRPr="00000000">
              <w:rPr>
                <w:rtl w:val="0"/>
              </w:rPr>
            </w:r>
          </w:p>
        </w:tc>
        <w:tc>
          <w:tcPr>
            <w:tcBorders>
              <w:top w:color="ffffff" w:space="0" w:sz="8" w:val="single"/>
              <w:left w:color="000000" w:space="0" w:sz="0" w:val="nil"/>
              <w:bottom w:color="000000" w:space="0" w:sz="0" w:val="nil"/>
            </w:tcBorders>
            <w:shd w:fill="d9d9d9" w:val="clear"/>
            <w:vAlign w:val="center"/>
          </w:tcPr>
          <w:p w:rsidR="00000000" w:rsidDel="00000000" w:rsidP="00000000" w:rsidRDefault="00000000" w:rsidRPr="00000000" w14:paraId="0000020F">
            <w:pPr>
              <w:jc w:val="right"/>
              <w:rPr/>
            </w:pPr>
            <w:r w:rsidDel="00000000" w:rsidR="00000000" w:rsidRPr="00000000">
              <w:rPr>
                <w:rtl w:val="0"/>
              </w:rPr>
              <w:t xml:space="preserve">$1,590,323</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10">
            <w:pPr>
              <w:spacing w:after="40" w:before="40" w:line="240" w:lineRule="auto"/>
              <w:rPr/>
            </w:pPr>
            <w:r w:rsidDel="00000000" w:rsidR="00000000" w:rsidRPr="00000000">
              <w:rPr>
                <w:b w:val="0"/>
                <w:rtl w:val="0"/>
              </w:rPr>
              <w:t xml:space="preserve">Equity (Catch Up)</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11">
            <w:pPr>
              <w:jc w:val="right"/>
              <w:rPr/>
            </w:pPr>
            <w:r w:rsidDel="00000000" w:rsidR="00000000" w:rsidRPr="00000000">
              <w:rPr>
                <w:rtl w:val="0"/>
              </w:rPr>
              <w:t xml:space="preserve">$127,988</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212">
            <w:pPr>
              <w:spacing w:after="40" w:before="40" w:line="240" w:lineRule="auto"/>
              <w:rPr/>
            </w:pPr>
            <w:r w:rsidDel="00000000" w:rsidR="00000000" w:rsidRPr="00000000">
              <w:rPr>
                <w:b w:val="0"/>
                <w:rtl w:val="0"/>
              </w:rPr>
              <w:t xml:space="preserve">Transition Funding</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13">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ffffff" w:space="0" w:sz="8" w:val="single"/>
              <w:right w:color="000000" w:space="0" w:sz="0" w:val="nil"/>
            </w:tcBorders>
            <w:shd w:fill="f2f2f2" w:val="clear"/>
            <w:vAlign w:val="center"/>
          </w:tcPr>
          <w:p w:rsidR="00000000" w:rsidDel="00000000" w:rsidP="00000000" w:rsidRDefault="00000000" w:rsidRPr="00000000" w14:paraId="00000214">
            <w:pPr>
              <w:spacing w:after="40" w:before="40" w:line="240" w:lineRule="auto"/>
              <w:rPr/>
            </w:pPr>
            <w:r w:rsidDel="00000000" w:rsidR="00000000" w:rsidRPr="00000000">
              <w:rPr>
                <w:b w:val="0"/>
                <w:rtl w:val="0"/>
              </w:rPr>
              <w:t xml:space="preserve">Equity (Social Disadvantage – Extraordinary Growth)</w:t>
            </w:r>
            <w:r w:rsidDel="00000000" w:rsidR="00000000" w:rsidRPr="00000000">
              <w:rPr>
                <w:rtl w:val="0"/>
              </w:rPr>
            </w:r>
          </w:p>
          <w:p w:rsidR="00000000" w:rsidDel="00000000" w:rsidP="00000000" w:rsidRDefault="00000000" w:rsidRPr="00000000" w14:paraId="00000215">
            <w:pPr>
              <w:spacing w:after="40" w:before="40" w:line="240" w:lineRule="auto"/>
              <w:rPr>
                <w:color w:val="ffffff"/>
              </w:rPr>
            </w:pPr>
            <w:r w:rsidDel="00000000" w:rsidR="00000000" w:rsidRPr="00000000">
              <w:rPr>
                <w:rtl w:val="0"/>
              </w:rPr>
            </w:r>
          </w:p>
        </w:tc>
        <w:tc>
          <w:tcPr>
            <w:tcBorders>
              <w:top w:color="000000" w:space="0" w:sz="0" w:val="nil"/>
              <w:left w:color="000000" w:space="0" w:sz="0" w:val="nil"/>
              <w:bottom w:color="ffffff" w:space="0" w:sz="8" w:val="single"/>
            </w:tcBorders>
            <w:shd w:fill="f2f2f2" w:val="clear"/>
            <w:vAlign w:val="center"/>
          </w:tcPr>
          <w:p w:rsidR="00000000" w:rsidDel="00000000" w:rsidP="00000000" w:rsidRDefault="00000000" w:rsidRPr="00000000" w14:paraId="00000216">
            <w:pPr>
              <w:jc w:val="right"/>
              <w:rPr/>
            </w:pPr>
            <w:r w:rsidDel="00000000" w:rsidR="00000000" w:rsidRPr="00000000">
              <w:rPr>
                <w:rtl w:val="0"/>
              </w:rPr>
              <w:t xml:space="preserve">$0</w:t>
            </w:r>
          </w:p>
        </w:tc>
      </w:tr>
      <w:tr>
        <w:trPr>
          <w:cantSplit w:val="0"/>
          <w:trHeight w:val="284" w:hRule="atLeast"/>
          <w:tblHeader w:val="0"/>
        </w:trPr>
        <w:tc>
          <w:tcPr>
            <w:tcBorders>
              <w:top w:color="ffffff" w:space="0" w:sz="8" w:val="single"/>
              <w:bottom w:color="000000" w:space="0" w:sz="0" w:val="nil"/>
              <w:right w:color="ffffff" w:space="0" w:sz="8" w:val="single"/>
            </w:tcBorders>
            <w:shd w:fill="a6a6a6" w:val="clear"/>
            <w:vAlign w:val="center"/>
          </w:tcPr>
          <w:p w:rsidR="00000000" w:rsidDel="00000000" w:rsidP="00000000" w:rsidRDefault="00000000" w:rsidRPr="00000000" w14:paraId="00000217">
            <w:pPr>
              <w:spacing w:after="40" w:before="40" w:line="240" w:lineRule="auto"/>
              <w:rPr/>
            </w:pPr>
            <w:r w:rsidDel="00000000" w:rsidR="00000000" w:rsidRPr="00000000">
              <w:rPr>
                <w:rtl w:val="0"/>
              </w:rPr>
              <w:t xml:space="preserve">Equity Total</w:t>
            </w:r>
          </w:p>
        </w:tc>
        <w:tc>
          <w:tcPr>
            <w:tcBorders>
              <w:top w:color="ffffff" w:space="0" w:sz="8" w:val="single"/>
              <w:left w:color="ffffff" w:space="0" w:sz="8" w:val="single"/>
              <w:bottom w:color="000000" w:space="0" w:sz="0" w:val="nil"/>
            </w:tcBorders>
            <w:shd w:fill="ffc000" w:val="clear"/>
            <w:vAlign w:val="center"/>
          </w:tcPr>
          <w:p w:rsidR="00000000" w:rsidDel="00000000" w:rsidP="00000000" w:rsidRDefault="00000000" w:rsidRPr="00000000" w14:paraId="00000218">
            <w:pPr>
              <w:jc w:val="right"/>
              <w:rPr>
                <w:b w:val="1"/>
              </w:rPr>
            </w:pPr>
            <w:r w:rsidDel="00000000" w:rsidR="00000000" w:rsidRPr="00000000">
              <w:rPr>
                <w:b w:val="1"/>
                <w:rtl w:val="0"/>
              </w:rPr>
              <w:t xml:space="preserve">$1,718,311</w:t>
            </w:r>
          </w:p>
        </w:tc>
      </w:tr>
    </w:tbl>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6"/>
        <w:tblW w:w="6181.0" w:type="dxa"/>
        <w:jc w:val="center"/>
        <w:tblBorders>
          <w:top w:color="ffffff" w:space="0" w:sz="4" w:val="single"/>
          <w:left w:color="000000" w:space="0" w:sz="4" w:val="single"/>
          <w:bottom w:color="ffffff" w:space="0" w:sz="4" w:val="single"/>
          <w:right w:color="000000" w:space="0" w:sz="4" w:val="single"/>
          <w:insideH w:color="ffffff" w:space="0" w:sz="4" w:val="single"/>
          <w:insideV w:color="ffffff" w:space="0" w:sz="4" w:val="single"/>
        </w:tblBorders>
        <w:tblLayout w:type="fixed"/>
        <w:tblLook w:val="04A0"/>
      </w:tblPr>
      <w:tblGrid>
        <w:gridCol w:w="4386"/>
        <w:gridCol w:w="1795"/>
        <w:tblGridChange w:id="0">
          <w:tblGrid>
            <w:gridCol w:w="4386"/>
            <w:gridCol w:w="1795"/>
          </w:tblGrid>
        </w:tblGridChange>
      </w:tblGrid>
      <w:tr>
        <w:trPr>
          <w:cantSplit w:val="0"/>
          <w:trHeight w:val="284" w:hRule="atLeast"/>
          <w:tblHeader w:val="1"/>
        </w:trPr>
        <w:tc>
          <w:tcPr>
            <w:tcBorders>
              <w:left w:color="ffffff" w:space="0" w:sz="8" w:val="single"/>
              <w:bottom w:color="ffffff" w:space="0" w:sz="8" w:val="single"/>
              <w:right w:color="ffffff" w:space="0" w:sz="8" w:val="single"/>
            </w:tcBorders>
            <w:shd w:fill="a6a6a6" w:val="clear"/>
            <w:vAlign w:val="center"/>
          </w:tcPr>
          <w:p w:rsidR="00000000" w:rsidDel="00000000" w:rsidP="00000000" w:rsidRDefault="00000000" w:rsidRPr="00000000" w14:paraId="0000021A">
            <w:pPr>
              <w:spacing w:after="40" w:before="40" w:line="240" w:lineRule="auto"/>
              <w:rPr/>
            </w:pPr>
            <w:r w:rsidDel="00000000" w:rsidR="00000000" w:rsidRPr="00000000">
              <w:rPr>
                <w:rtl w:val="0"/>
              </w:rPr>
              <w:t xml:space="preserve">Expenditure</w:t>
            </w:r>
          </w:p>
        </w:tc>
        <w:tc>
          <w:tcPr>
            <w:tcBorders>
              <w:left w:color="ffffff" w:space="0" w:sz="8" w:val="single"/>
              <w:bottom w:color="ffffff" w:space="0" w:sz="8" w:val="single"/>
              <w:right w:color="ffffff" w:space="0" w:sz="8" w:val="single"/>
            </w:tcBorders>
            <w:shd w:fill="ffc000" w:val="clear"/>
            <w:vAlign w:val="center"/>
          </w:tcPr>
          <w:p w:rsidR="00000000" w:rsidDel="00000000" w:rsidP="00000000" w:rsidRDefault="00000000" w:rsidRPr="00000000" w14:paraId="0000021B">
            <w:pPr>
              <w:spacing w:after="40" w:before="40" w:line="240" w:lineRule="auto"/>
              <w:jc w:val="right"/>
              <w:rPr/>
            </w:pPr>
            <w:r w:rsidDel="00000000" w:rsidR="00000000" w:rsidRPr="00000000">
              <w:rPr>
                <w:rtl w:val="0"/>
              </w:rPr>
              <w:t xml:space="preserve">Actual</w:t>
            </w:r>
          </w:p>
        </w:tc>
      </w:tr>
      <w:tr>
        <w:trPr>
          <w:cantSplit w:val="0"/>
          <w:trHeight w:val="284" w:hRule="atLeast"/>
          <w:tblHeader w:val="0"/>
        </w:trPr>
        <w:tc>
          <w:tcPr>
            <w:tcBorders>
              <w:top w:color="ffffff" w:space="0" w:sz="8" w:val="single"/>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1C">
            <w:pPr>
              <w:spacing w:after="40" w:before="40" w:line="240" w:lineRule="auto"/>
              <w:rPr>
                <w:vertAlign w:val="superscript"/>
              </w:rPr>
            </w:pPr>
            <w:r w:rsidDel="00000000" w:rsidR="00000000" w:rsidRPr="00000000">
              <w:rPr>
                <w:b w:val="0"/>
                <w:rtl w:val="0"/>
              </w:rPr>
              <w:t xml:space="preserve">Student Resource Package </w:t>
            </w:r>
            <w:r w:rsidDel="00000000" w:rsidR="00000000" w:rsidRPr="00000000">
              <w:rPr>
                <w:b w:val="0"/>
                <w:vertAlign w:val="superscript"/>
                <w:rtl w:val="0"/>
              </w:rPr>
              <w:t xml:space="preserve">2</w:t>
            </w:r>
            <w:r w:rsidDel="00000000" w:rsidR="00000000" w:rsidRPr="00000000">
              <w:rPr>
                <w:rtl w:val="0"/>
              </w:rPr>
            </w:r>
          </w:p>
        </w:tc>
        <w:tc>
          <w:tcPr>
            <w:tcBorders>
              <w:top w:color="ffffff" w:space="0" w:sz="8" w:val="single"/>
              <w:left w:color="000000" w:space="0" w:sz="0" w:val="nil"/>
              <w:bottom w:color="000000" w:space="0" w:sz="0" w:val="nil"/>
              <w:right w:color="ffffff" w:space="0" w:sz="8" w:val="single"/>
            </w:tcBorders>
            <w:shd w:fill="d9d9d9" w:val="clear"/>
            <w:vAlign w:val="center"/>
          </w:tcPr>
          <w:p w:rsidR="00000000" w:rsidDel="00000000" w:rsidP="00000000" w:rsidRDefault="00000000" w:rsidRPr="00000000" w14:paraId="0000021D">
            <w:pPr>
              <w:jc w:val="right"/>
              <w:rPr/>
            </w:pPr>
            <w:r w:rsidDel="00000000" w:rsidR="00000000" w:rsidRPr="00000000">
              <w:rPr>
                <w:rtl w:val="0"/>
              </w:rPr>
              <w:t xml:space="preserve">$12,484,350</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1E">
            <w:pPr>
              <w:spacing w:after="40" w:before="40" w:line="240" w:lineRule="auto"/>
              <w:rPr/>
            </w:pPr>
            <w:r w:rsidDel="00000000" w:rsidR="00000000" w:rsidRPr="00000000">
              <w:rPr>
                <w:b w:val="0"/>
                <w:rtl w:val="0"/>
              </w:rPr>
              <w:t xml:space="preserve">Adjustments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vAlign w:val="center"/>
          </w:tcPr>
          <w:p w:rsidR="00000000" w:rsidDel="00000000" w:rsidP="00000000" w:rsidRDefault="00000000" w:rsidRPr="00000000" w14:paraId="0000021F">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20">
            <w:pPr>
              <w:spacing w:after="40" w:before="40" w:line="240" w:lineRule="auto"/>
              <w:rPr/>
            </w:pPr>
            <w:r w:rsidDel="00000000" w:rsidR="00000000" w:rsidRPr="00000000">
              <w:rPr>
                <w:b w:val="0"/>
                <w:rtl w:val="0"/>
              </w:rPr>
              <w:t xml:space="preserve">Books &amp; Publications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vAlign w:val="center"/>
          </w:tcPr>
          <w:p w:rsidR="00000000" w:rsidDel="00000000" w:rsidP="00000000" w:rsidRDefault="00000000" w:rsidRPr="00000000" w14:paraId="00000221">
            <w:pPr>
              <w:jc w:val="right"/>
              <w:rPr/>
            </w:pPr>
            <w:r w:rsidDel="00000000" w:rsidR="00000000" w:rsidRPr="00000000">
              <w:rPr>
                <w:rtl w:val="0"/>
              </w:rPr>
              <w:t xml:space="preserve">$4,244</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22">
            <w:pPr>
              <w:spacing w:after="40" w:before="40" w:line="240" w:lineRule="auto"/>
              <w:rPr/>
            </w:pPr>
            <w:r w:rsidDel="00000000" w:rsidR="00000000" w:rsidRPr="00000000">
              <w:rPr>
                <w:b w:val="0"/>
                <w:rtl w:val="0"/>
              </w:rPr>
              <w:t xml:space="preserve">Camps/Excursions/Activities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vAlign w:val="center"/>
          </w:tcPr>
          <w:p w:rsidR="00000000" w:rsidDel="00000000" w:rsidP="00000000" w:rsidRDefault="00000000" w:rsidRPr="00000000" w14:paraId="00000223">
            <w:pPr>
              <w:jc w:val="right"/>
              <w:rPr/>
            </w:pPr>
            <w:r w:rsidDel="00000000" w:rsidR="00000000" w:rsidRPr="00000000">
              <w:rPr>
                <w:rtl w:val="0"/>
              </w:rPr>
              <w:t xml:space="preserve">$322,152</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24">
            <w:pPr>
              <w:spacing w:after="40" w:before="40" w:line="240" w:lineRule="auto"/>
              <w:rPr/>
            </w:pPr>
            <w:r w:rsidDel="00000000" w:rsidR="00000000" w:rsidRPr="00000000">
              <w:rPr>
                <w:b w:val="0"/>
                <w:rtl w:val="0"/>
              </w:rPr>
              <w:t xml:space="preserve">Communication Costs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vAlign w:val="center"/>
          </w:tcPr>
          <w:p w:rsidR="00000000" w:rsidDel="00000000" w:rsidP="00000000" w:rsidRDefault="00000000" w:rsidRPr="00000000" w14:paraId="00000225">
            <w:pPr>
              <w:jc w:val="right"/>
              <w:rPr/>
            </w:pPr>
            <w:r w:rsidDel="00000000" w:rsidR="00000000" w:rsidRPr="00000000">
              <w:rPr>
                <w:rtl w:val="0"/>
              </w:rPr>
              <w:t xml:space="preserve">$54,750</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26">
            <w:pPr>
              <w:spacing w:after="40" w:before="40" w:line="240" w:lineRule="auto"/>
              <w:rPr/>
            </w:pPr>
            <w:r w:rsidDel="00000000" w:rsidR="00000000" w:rsidRPr="00000000">
              <w:rPr>
                <w:b w:val="0"/>
                <w:rtl w:val="0"/>
              </w:rPr>
              <w:t xml:space="preserve">Consumables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vAlign w:val="center"/>
          </w:tcPr>
          <w:p w:rsidR="00000000" w:rsidDel="00000000" w:rsidP="00000000" w:rsidRDefault="00000000" w:rsidRPr="00000000" w14:paraId="00000227">
            <w:pPr>
              <w:jc w:val="right"/>
              <w:rPr/>
            </w:pPr>
            <w:r w:rsidDel="00000000" w:rsidR="00000000" w:rsidRPr="00000000">
              <w:rPr>
                <w:rtl w:val="0"/>
              </w:rPr>
              <w:t xml:space="preserve">$376,290</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28">
            <w:pPr>
              <w:spacing w:after="40" w:before="40" w:line="240" w:lineRule="auto"/>
              <w:rPr>
                <w:vertAlign w:val="superscript"/>
              </w:rPr>
            </w:pPr>
            <w:r w:rsidDel="00000000" w:rsidR="00000000" w:rsidRPr="00000000">
              <w:rPr>
                <w:b w:val="0"/>
                <w:rtl w:val="0"/>
              </w:rPr>
              <w:t xml:space="preserve">Miscellaneous Expense </w:t>
            </w:r>
            <w:r w:rsidDel="00000000" w:rsidR="00000000" w:rsidRPr="00000000">
              <w:rPr>
                <w:b w:val="0"/>
                <w:vertAlign w:val="superscript"/>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vAlign w:val="center"/>
          </w:tcPr>
          <w:p w:rsidR="00000000" w:rsidDel="00000000" w:rsidP="00000000" w:rsidRDefault="00000000" w:rsidRPr="00000000" w14:paraId="00000229">
            <w:pPr>
              <w:jc w:val="right"/>
              <w:rPr/>
            </w:pPr>
            <w:r w:rsidDel="00000000" w:rsidR="00000000" w:rsidRPr="00000000">
              <w:rPr>
                <w:rtl w:val="0"/>
              </w:rPr>
              <w:t xml:space="preserve">$286,866</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2A">
            <w:pPr>
              <w:spacing w:after="40" w:before="40" w:line="240" w:lineRule="auto"/>
              <w:rPr/>
            </w:pPr>
            <w:r w:rsidDel="00000000" w:rsidR="00000000" w:rsidRPr="00000000">
              <w:rPr>
                <w:b w:val="0"/>
                <w:rtl w:val="0"/>
              </w:rPr>
              <w:t xml:space="preserve">Professional Development</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vAlign w:val="center"/>
          </w:tcPr>
          <w:p w:rsidR="00000000" w:rsidDel="00000000" w:rsidP="00000000" w:rsidRDefault="00000000" w:rsidRPr="00000000" w14:paraId="0000022B">
            <w:pPr>
              <w:jc w:val="right"/>
              <w:rPr/>
            </w:pPr>
            <w:r w:rsidDel="00000000" w:rsidR="00000000" w:rsidRPr="00000000">
              <w:rPr>
                <w:rtl w:val="0"/>
              </w:rPr>
              <w:t xml:space="preserve">$92,588</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2C">
            <w:pPr>
              <w:spacing w:after="40" w:before="40" w:line="240" w:lineRule="auto"/>
              <w:rPr/>
            </w:pPr>
            <w:r w:rsidDel="00000000" w:rsidR="00000000" w:rsidRPr="00000000">
              <w:rPr>
                <w:b w:val="0"/>
                <w:rtl w:val="0"/>
              </w:rPr>
              <w:t xml:space="preserve">Equipment/Maintenance/Hire</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tcPr>
          <w:p w:rsidR="00000000" w:rsidDel="00000000" w:rsidP="00000000" w:rsidRDefault="00000000" w:rsidRPr="00000000" w14:paraId="0000022D">
            <w:pPr>
              <w:jc w:val="right"/>
              <w:rPr/>
            </w:pPr>
            <w:r w:rsidDel="00000000" w:rsidR="00000000" w:rsidRPr="00000000">
              <w:rPr>
                <w:rtl w:val="0"/>
              </w:rPr>
              <w:t xml:space="preserve">$331,914</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2E">
            <w:pPr>
              <w:spacing w:after="40" w:before="40" w:line="240" w:lineRule="auto"/>
              <w:rPr/>
            </w:pPr>
            <w:r w:rsidDel="00000000" w:rsidR="00000000" w:rsidRPr="00000000">
              <w:rPr>
                <w:b w:val="0"/>
                <w:rtl w:val="0"/>
              </w:rPr>
              <w:t xml:space="preserve">Property Services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tcPr>
          <w:p w:rsidR="00000000" w:rsidDel="00000000" w:rsidP="00000000" w:rsidRDefault="00000000" w:rsidRPr="00000000" w14:paraId="0000022F">
            <w:pPr>
              <w:jc w:val="right"/>
              <w:rPr/>
            </w:pPr>
            <w:r w:rsidDel="00000000" w:rsidR="00000000" w:rsidRPr="00000000">
              <w:rPr>
                <w:rtl w:val="0"/>
              </w:rPr>
              <w:t xml:space="preserve">$437,212</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30">
            <w:pPr>
              <w:spacing w:after="40" w:before="40" w:line="240" w:lineRule="auto"/>
              <w:rPr>
                <w:vertAlign w:val="superscript"/>
              </w:rPr>
            </w:pPr>
            <w:r w:rsidDel="00000000" w:rsidR="00000000" w:rsidRPr="00000000">
              <w:rPr>
                <w:b w:val="0"/>
                <w:rtl w:val="0"/>
              </w:rPr>
              <w:t xml:space="preserve">Salaries &amp; Allowances </w:t>
            </w:r>
            <w:r w:rsidDel="00000000" w:rsidR="00000000" w:rsidRPr="00000000">
              <w:rPr>
                <w:b w:val="0"/>
                <w:vertAlign w:val="superscript"/>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tcPr>
          <w:p w:rsidR="00000000" w:rsidDel="00000000" w:rsidP="00000000" w:rsidRDefault="00000000" w:rsidRPr="00000000" w14:paraId="00000231">
            <w:pPr>
              <w:jc w:val="right"/>
              <w:rPr/>
            </w:pPr>
            <w:r w:rsidDel="00000000" w:rsidR="00000000" w:rsidRPr="00000000">
              <w:rPr>
                <w:rtl w:val="0"/>
              </w:rPr>
              <w:t xml:space="preserve">$837,421</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32">
            <w:pPr>
              <w:spacing w:after="40" w:before="40" w:line="240" w:lineRule="auto"/>
              <w:rPr/>
            </w:pPr>
            <w:r w:rsidDel="00000000" w:rsidR="00000000" w:rsidRPr="00000000">
              <w:rPr>
                <w:b w:val="0"/>
                <w:rtl w:val="0"/>
              </w:rPr>
              <w:t xml:space="preserve">Support Services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tcPr>
          <w:p w:rsidR="00000000" w:rsidDel="00000000" w:rsidP="00000000" w:rsidRDefault="00000000" w:rsidRPr="00000000" w14:paraId="00000233">
            <w:pPr>
              <w:jc w:val="right"/>
              <w:rPr/>
            </w:pPr>
            <w:r w:rsidDel="00000000" w:rsidR="00000000" w:rsidRPr="00000000">
              <w:rPr>
                <w:rtl w:val="0"/>
              </w:rPr>
              <w:t xml:space="preserve">$408,986</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34">
            <w:pPr>
              <w:spacing w:after="40" w:before="40" w:line="240" w:lineRule="auto"/>
              <w:rPr/>
            </w:pPr>
            <w:r w:rsidDel="00000000" w:rsidR="00000000" w:rsidRPr="00000000">
              <w:rPr>
                <w:b w:val="0"/>
                <w:rtl w:val="0"/>
              </w:rPr>
              <w:t xml:space="preserve">Trading &amp; Fundraising</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tcPr>
          <w:p w:rsidR="00000000" w:rsidDel="00000000" w:rsidP="00000000" w:rsidRDefault="00000000" w:rsidRPr="00000000" w14:paraId="00000235">
            <w:pPr>
              <w:jc w:val="right"/>
              <w:rPr/>
            </w:pPr>
            <w:r w:rsidDel="00000000" w:rsidR="00000000" w:rsidRPr="00000000">
              <w:rPr>
                <w:rtl w:val="0"/>
              </w:rPr>
              <w:t xml:space="preserve">$68,788</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f2f2f2" w:val="clear"/>
            <w:vAlign w:val="center"/>
          </w:tcPr>
          <w:p w:rsidR="00000000" w:rsidDel="00000000" w:rsidP="00000000" w:rsidRDefault="00000000" w:rsidRPr="00000000" w14:paraId="00000236">
            <w:pPr>
              <w:spacing w:after="40" w:before="40" w:line="240" w:lineRule="auto"/>
              <w:rPr/>
            </w:pPr>
            <w:r w:rsidDel="00000000" w:rsidR="00000000" w:rsidRPr="00000000">
              <w:rPr>
                <w:b w:val="0"/>
                <w:rtl w:val="0"/>
              </w:rPr>
              <w:t xml:space="preserve">Motor Vehicle Expenses</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f2f2f2" w:val="clear"/>
          </w:tcPr>
          <w:p w:rsidR="00000000" w:rsidDel="00000000" w:rsidP="00000000" w:rsidRDefault="00000000" w:rsidRPr="00000000" w14:paraId="00000237">
            <w:pPr>
              <w:jc w:val="right"/>
              <w:rPr/>
            </w:pPr>
            <w:r w:rsidDel="00000000" w:rsidR="00000000" w:rsidRPr="00000000">
              <w:rPr>
                <w:rtl w:val="0"/>
              </w:rPr>
              <w:t xml:space="preserve">$385</w:t>
            </w:r>
          </w:p>
        </w:tc>
      </w:tr>
      <w:tr>
        <w:trPr>
          <w:cantSplit w:val="0"/>
          <w:trHeight w:val="284" w:hRule="atLeast"/>
          <w:tblHeader w:val="0"/>
        </w:trPr>
        <w:tc>
          <w:tcPr>
            <w:tcBorders>
              <w:top w:color="000000" w:space="0" w:sz="0" w:val="nil"/>
              <w:left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38">
            <w:pPr>
              <w:spacing w:after="40" w:before="40" w:line="240" w:lineRule="auto"/>
              <w:rPr/>
            </w:pPr>
            <w:r w:rsidDel="00000000" w:rsidR="00000000" w:rsidRPr="00000000">
              <w:rPr>
                <w:b w:val="0"/>
                <w:rtl w:val="0"/>
              </w:rPr>
              <w:t xml:space="preserve">Travel &amp; Subsistence</w:t>
            </w:r>
            <w:r w:rsidDel="00000000" w:rsidR="00000000" w:rsidRPr="00000000">
              <w:rPr>
                <w:rtl w:val="0"/>
              </w:rPr>
            </w:r>
          </w:p>
        </w:tc>
        <w:tc>
          <w:tcPr>
            <w:tcBorders>
              <w:top w:color="000000" w:space="0" w:sz="0" w:val="nil"/>
              <w:left w:color="000000" w:space="0" w:sz="0" w:val="nil"/>
              <w:bottom w:color="000000" w:space="0" w:sz="0" w:val="nil"/>
              <w:right w:color="ffffff" w:space="0" w:sz="8" w:val="single"/>
            </w:tcBorders>
            <w:shd w:fill="d9d9d9" w:val="clear"/>
          </w:tcPr>
          <w:p w:rsidR="00000000" w:rsidDel="00000000" w:rsidP="00000000" w:rsidRDefault="00000000" w:rsidRPr="00000000" w14:paraId="00000239">
            <w:pPr>
              <w:jc w:val="right"/>
              <w:rPr/>
            </w:pPr>
            <w:r w:rsidDel="00000000" w:rsidR="00000000" w:rsidRPr="00000000">
              <w:rPr>
                <w:rtl w:val="0"/>
              </w:rPr>
              <w:t xml:space="preserve">$10,688</w:t>
            </w:r>
          </w:p>
        </w:tc>
      </w:tr>
      <w:tr>
        <w:trPr>
          <w:cantSplit w:val="0"/>
          <w:trHeight w:val="284" w:hRule="atLeast"/>
          <w:tblHeader w:val="0"/>
        </w:trPr>
        <w:tc>
          <w:tcPr>
            <w:tcBorders>
              <w:top w:color="000000" w:space="0" w:sz="0" w:val="nil"/>
              <w:left w:color="ffffff" w:space="0" w:sz="8" w:val="single"/>
              <w:bottom w:color="ffffff" w:space="0" w:sz="8" w:val="single"/>
              <w:right w:color="000000" w:space="0" w:sz="0" w:val="nil"/>
            </w:tcBorders>
            <w:shd w:fill="f2f2f2" w:val="clear"/>
            <w:vAlign w:val="center"/>
          </w:tcPr>
          <w:p w:rsidR="00000000" w:rsidDel="00000000" w:rsidP="00000000" w:rsidRDefault="00000000" w:rsidRPr="00000000" w14:paraId="0000023A">
            <w:pPr>
              <w:spacing w:after="40" w:before="40" w:line="240" w:lineRule="auto"/>
              <w:rPr/>
            </w:pPr>
            <w:r w:rsidDel="00000000" w:rsidR="00000000" w:rsidRPr="00000000">
              <w:rPr>
                <w:b w:val="0"/>
                <w:rtl w:val="0"/>
              </w:rPr>
              <w:t xml:space="preserve">Utilities</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2f2f2" w:val="clear"/>
          </w:tcPr>
          <w:p w:rsidR="00000000" w:rsidDel="00000000" w:rsidP="00000000" w:rsidRDefault="00000000" w:rsidRPr="00000000" w14:paraId="0000023B">
            <w:pPr>
              <w:jc w:val="right"/>
              <w:rPr/>
            </w:pPr>
            <w:r w:rsidDel="00000000" w:rsidR="00000000" w:rsidRPr="00000000">
              <w:rPr>
                <w:rtl w:val="0"/>
              </w:rPr>
              <w:t xml:space="preserve">$106,164</w:t>
            </w:r>
          </w:p>
        </w:tc>
      </w:tr>
      <w:tr>
        <w:trPr>
          <w:cantSplit w:val="0"/>
          <w:trHeight w:val="284" w:hRule="atLeast"/>
          <w:tblHeader w:val="0"/>
        </w:trPr>
        <w:tc>
          <w:tcPr>
            <w:tcBorders>
              <w:top w:color="ffffff" w:space="0" w:sz="8" w:val="single"/>
              <w:left w:color="ffffff" w:space="0" w:sz="8" w:val="single"/>
              <w:bottom w:color="ffffff" w:space="0" w:sz="8" w:val="single"/>
              <w:right w:color="ffffff" w:space="0" w:sz="8" w:val="single"/>
            </w:tcBorders>
            <w:shd w:fill="a6a6a6" w:val="clear"/>
            <w:vAlign w:val="center"/>
          </w:tcPr>
          <w:p w:rsidR="00000000" w:rsidDel="00000000" w:rsidP="00000000" w:rsidRDefault="00000000" w:rsidRPr="00000000" w14:paraId="0000023C">
            <w:pPr>
              <w:rPr/>
            </w:pPr>
            <w:r w:rsidDel="00000000" w:rsidR="00000000" w:rsidRPr="00000000">
              <w:rPr>
                <w:rtl w:val="0"/>
              </w:rPr>
              <w:t xml:space="preserve">Total Operating Expenditure</w:t>
            </w:r>
          </w:p>
          <w:p w:rsidR="00000000" w:rsidDel="00000000" w:rsidP="00000000" w:rsidRDefault="00000000" w:rsidRPr="00000000" w14:paraId="0000023D">
            <w:pPr>
              <w:spacing w:after="40" w:before="4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000000" w:space="0" w:sz="0" w:val="nil"/>
            </w:tcBorders>
            <w:shd w:fill="ffc000" w:val="clear"/>
          </w:tcPr>
          <w:p w:rsidR="00000000" w:rsidDel="00000000" w:rsidP="00000000" w:rsidRDefault="00000000" w:rsidRPr="00000000" w14:paraId="0000023E">
            <w:pPr>
              <w:jc w:val="right"/>
              <w:rPr>
                <w:b w:val="1"/>
              </w:rPr>
            </w:pPr>
            <w:r w:rsidDel="00000000" w:rsidR="00000000" w:rsidRPr="00000000">
              <w:rPr>
                <w:b w:val="1"/>
                <w:rtl w:val="0"/>
              </w:rPr>
              <w:t xml:space="preserve">$15,822,797</w:t>
            </w:r>
          </w:p>
        </w:tc>
      </w:tr>
      <w:tr>
        <w:trPr>
          <w:cantSplit w:val="0"/>
          <w:trHeight w:val="284" w:hRule="atLeast"/>
          <w:tblHeader w:val="0"/>
        </w:trPr>
        <w:tc>
          <w:tcPr>
            <w:tcBorders>
              <w:top w:color="ffffff" w:space="0" w:sz="8" w:val="single"/>
              <w:left w:color="ffffff" w:space="0" w:sz="8" w:val="single"/>
              <w:bottom w:color="ffffff" w:space="0" w:sz="8" w:val="single"/>
              <w:right w:color="ffffff" w:space="0" w:sz="8" w:val="single"/>
            </w:tcBorders>
            <w:shd w:fill="a6a6a6" w:val="clear"/>
            <w:vAlign w:val="center"/>
          </w:tcPr>
          <w:p w:rsidR="00000000" w:rsidDel="00000000" w:rsidP="00000000" w:rsidRDefault="00000000" w:rsidRPr="00000000" w14:paraId="0000023F">
            <w:pPr>
              <w:rPr/>
            </w:pPr>
            <w:r w:rsidDel="00000000" w:rsidR="00000000" w:rsidRPr="00000000">
              <w:rPr>
                <w:rtl w:val="0"/>
              </w:rPr>
              <w:t xml:space="preserve">Net Operating Surplus/-Deficit</w:t>
            </w:r>
          </w:p>
        </w:tc>
        <w:tc>
          <w:tcPr>
            <w:tcBorders>
              <w:top w:color="ffffff" w:space="0" w:sz="8" w:val="single"/>
              <w:left w:color="ffffff" w:space="0" w:sz="8" w:val="single"/>
              <w:bottom w:color="ffffff" w:space="0" w:sz="8" w:val="single"/>
              <w:right w:color="000000" w:space="0" w:sz="0" w:val="nil"/>
            </w:tcBorders>
            <w:shd w:fill="ffc000" w:val="clear"/>
          </w:tcPr>
          <w:p w:rsidR="00000000" w:rsidDel="00000000" w:rsidP="00000000" w:rsidRDefault="00000000" w:rsidRPr="00000000" w14:paraId="00000240">
            <w:pPr>
              <w:jc w:val="right"/>
              <w:rPr>
                <w:b w:val="1"/>
              </w:rPr>
            </w:pPr>
            <w:r w:rsidDel="00000000" w:rsidR="00000000" w:rsidRPr="00000000">
              <w:rPr>
                <w:b w:val="1"/>
                <w:rtl w:val="0"/>
              </w:rPr>
              <w:t xml:space="preserve">$1,243,010</w:t>
            </w:r>
          </w:p>
        </w:tc>
      </w:tr>
      <w:tr>
        <w:trPr>
          <w:cantSplit w:val="0"/>
          <w:trHeight w:val="284" w:hRule="atLeast"/>
          <w:tblHeader w:val="0"/>
        </w:trPr>
        <w:tc>
          <w:tcPr>
            <w:tcBorders>
              <w:top w:color="ffffff" w:space="0" w:sz="8" w:val="single"/>
              <w:left w:color="ffffff" w:space="0" w:sz="8" w:val="single"/>
              <w:bottom w:color="000000" w:space="0" w:sz="0" w:val="nil"/>
              <w:right w:color="ffffff" w:space="0" w:sz="8" w:val="single"/>
            </w:tcBorders>
            <w:shd w:fill="a6a6a6" w:val="clear"/>
            <w:vAlign w:val="center"/>
          </w:tcPr>
          <w:p w:rsidR="00000000" w:rsidDel="00000000" w:rsidP="00000000" w:rsidRDefault="00000000" w:rsidRPr="00000000" w14:paraId="00000241">
            <w:pPr>
              <w:rPr/>
            </w:pPr>
            <w:r w:rsidDel="00000000" w:rsidR="00000000" w:rsidRPr="00000000">
              <w:rPr>
                <w:rtl w:val="0"/>
              </w:rPr>
              <w:t xml:space="preserve">Asset Acquisitions</w:t>
            </w:r>
          </w:p>
        </w:tc>
        <w:tc>
          <w:tcPr>
            <w:tcBorders>
              <w:top w:color="ffffff" w:space="0" w:sz="8" w:val="single"/>
              <w:left w:color="ffffff" w:space="0" w:sz="8" w:val="single"/>
              <w:bottom w:color="000000" w:space="0" w:sz="0" w:val="nil"/>
              <w:right w:color="000000" w:space="0" w:sz="0" w:val="nil"/>
            </w:tcBorders>
            <w:shd w:fill="ffc000" w:val="clear"/>
          </w:tcPr>
          <w:p w:rsidR="00000000" w:rsidDel="00000000" w:rsidP="00000000" w:rsidRDefault="00000000" w:rsidRPr="00000000" w14:paraId="00000242">
            <w:pPr>
              <w:jc w:val="right"/>
              <w:rPr>
                <w:b w:val="1"/>
              </w:rPr>
            </w:pPr>
            <w:r w:rsidDel="00000000" w:rsidR="00000000" w:rsidRPr="00000000">
              <w:rPr>
                <w:b w:val="1"/>
                <w:rtl w:val="0"/>
              </w:rPr>
              <w:t xml:space="preserve">$241,215</w:t>
            </w:r>
          </w:p>
        </w:tc>
      </w:tr>
    </w:tbl>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equity funding reported above is a subset of the overall revenue reported by the school.</w:t>
      </w:r>
    </w:p>
    <w:p w:rsidR="00000000" w:rsidDel="00000000" w:rsidP="00000000" w:rsidRDefault="00000000" w:rsidRPr="00000000" w14:paraId="000002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Student Resource Package Expenditure figures are as of 19 Feb 2024 and are subject to change during the reconciliation process.</w:t>
      </w:r>
    </w:p>
    <w:p w:rsidR="00000000" w:rsidDel="00000000" w:rsidP="00000000" w:rsidRDefault="00000000" w:rsidRPr="00000000" w14:paraId="000002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Miscellaneous Expenses include bank charges, administration expenses, insurance and taxation charges.</w:t>
      </w:r>
    </w:p>
    <w:p w:rsidR="00000000" w:rsidDel="00000000" w:rsidP="00000000" w:rsidRDefault="00000000" w:rsidRPr="00000000" w14:paraId="000002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Salaries and Allowances refers to school-level payroll.</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color="000000" w:space="10" w:sz="4" w:val="single"/>
          <w:left w:space="0" w:sz="0" w:val="nil"/>
          <w:bottom w:space="0" w:sz="0" w:val="nil"/>
          <w:right w:space="0" w:sz="0" w:val="nil"/>
          <w:between w:space="0" w:sz="0" w:val="nil"/>
        </w:pBdr>
        <w:shd w:fill="auto" w:val="clear"/>
        <w:spacing w:after="480" w:before="240" w:line="240" w:lineRule="auto"/>
        <w:ind w:left="0" w:right="0" w:firstLine="0"/>
        <w:jc w:val="left"/>
        <w:rPr>
          <w:rFonts w:ascii="Arial" w:cs="Arial" w:eastAsia="Arial" w:hAnsi="Arial"/>
          <w:b w:val="0"/>
          <w:i w:val="0"/>
          <w:smallCaps w:val="0"/>
          <w:strike w:val="0"/>
          <w:color w:val="c00000"/>
          <w:sz w:val="24"/>
          <w:szCs w:val="24"/>
          <w:u w:val="none"/>
          <w:shd w:fill="auto" w:val="clear"/>
          <w:vertAlign w:val="baseline"/>
        </w:rPr>
      </w:pPr>
      <w:r w:rsidDel="00000000" w:rsidR="00000000" w:rsidRPr="00000000">
        <w:rPr>
          <w:rFonts w:ascii="Arial" w:cs="Arial" w:eastAsia="Arial" w:hAnsi="Arial"/>
          <w:b w:val="0"/>
          <w:i w:val="0"/>
          <w:smallCaps w:val="0"/>
          <w:strike w:val="0"/>
          <w:color w:val="c00000"/>
          <w:sz w:val="24"/>
          <w:szCs w:val="24"/>
          <w:u w:val="none"/>
          <w:shd w:fill="auto" w:val="clear"/>
          <w:vertAlign w:val="baseline"/>
          <w:rtl w:val="0"/>
        </w:rPr>
        <w:t xml:space="preserve">FINANCIAL POSITION AS AT 31 DECEMBER 2023</w:t>
      </w:r>
    </w:p>
    <w:tbl>
      <w:tblPr>
        <w:tblStyle w:val="Table27"/>
        <w:tblW w:w="6193.0" w:type="dxa"/>
        <w:jc w:val="center"/>
        <w:tblBorders>
          <w:top w:color="ffffff" w:space="0" w:sz="4" w:val="single"/>
          <w:left w:color="000000" w:space="0" w:sz="4" w:val="single"/>
          <w:bottom w:color="ffffff" w:space="0" w:sz="4" w:val="single"/>
          <w:right w:color="000000" w:space="0" w:sz="4" w:val="single"/>
          <w:insideH w:color="ffffff" w:space="0" w:sz="4" w:val="single"/>
          <w:insideV w:color="ffffff" w:space="0" w:sz="4" w:val="single"/>
        </w:tblBorders>
        <w:tblLayout w:type="fixed"/>
        <w:tblLook w:val="04A0"/>
      </w:tblPr>
      <w:tblGrid>
        <w:gridCol w:w="4395"/>
        <w:gridCol w:w="1798"/>
        <w:tblGridChange w:id="0">
          <w:tblGrid>
            <w:gridCol w:w="4395"/>
            <w:gridCol w:w="1798"/>
          </w:tblGrid>
        </w:tblGridChange>
      </w:tblGrid>
      <w:tr>
        <w:trPr>
          <w:cantSplit w:val="0"/>
          <w:trHeight w:val="284" w:hRule="atLeast"/>
          <w:tblHeader w:val="1"/>
        </w:trPr>
        <w:tc>
          <w:tcPr>
            <w:tcBorders>
              <w:bottom w:color="ffffff" w:space="0" w:sz="8" w:val="single"/>
              <w:right w:color="ffffff" w:space="0" w:sz="8" w:val="single"/>
            </w:tcBorders>
            <w:shd w:fill="a6a6a6" w:val="clear"/>
            <w:vAlign w:val="center"/>
          </w:tcPr>
          <w:p w:rsidR="00000000" w:rsidDel="00000000" w:rsidP="00000000" w:rsidRDefault="00000000" w:rsidRPr="00000000" w14:paraId="0000024B">
            <w:pPr>
              <w:spacing w:after="40" w:before="40" w:line="240" w:lineRule="auto"/>
              <w:rPr/>
            </w:pPr>
            <w:r w:rsidDel="00000000" w:rsidR="00000000" w:rsidRPr="00000000">
              <w:rPr>
                <w:rtl w:val="0"/>
              </w:rPr>
              <w:t xml:space="preserve">Funds available</w:t>
            </w:r>
          </w:p>
        </w:tc>
        <w:tc>
          <w:tcPr>
            <w:tcBorders>
              <w:left w:color="ffffff" w:space="0" w:sz="8" w:val="single"/>
              <w:bottom w:color="ffffff" w:space="0" w:sz="8" w:val="single"/>
            </w:tcBorders>
            <w:shd w:fill="ffc000" w:val="clear"/>
            <w:vAlign w:val="center"/>
          </w:tcPr>
          <w:p w:rsidR="00000000" w:rsidDel="00000000" w:rsidP="00000000" w:rsidRDefault="00000000" w:rsidRPr="00000000" w14:paraId="0000024C">
            <w:pPr>
              <w:spacing w:after="40" w:before="40" w:line="240" w:lineRule="auto"/>
              <w:jc w:val="right"/>
              <w:rPr/>
            </w:pPr>
            <w:r w:rsidDel="00000000" w:rsidR="00000000" w:rsidRPr="00000000">
              <w:rPr>
                <w:rtl w:val="0"/>
              </w:rPr>
              <w:t xml:space="preserve">Actual</w:t>
            </w:r>
          </w:p>
        </w:tc>
      </w:tr>
      <w:tr>
        <w:trPr>
          <w:cantSplit w:val="0"/>
          <w:trHeight w:val="284" w:hRule="atLeast"/>
          <w:tblHeader w:val="0"/>
        </w:trPr>
        <w:tc>
          <w:tcPr>
            <w:tcBorders>
              <w:top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4D">
            <w:pPr>
              <w:spacing w:after="40" w:before="40" w:line="240" w:lineRule="auto"/>
              <w:rPr/>
            </w:pPr>
            <w:r w:rsidDel="00000000" w:rsidR="00000000" w:rsidRPr="00000000">
              <w:rPr>
                <w:b w:val="0"/>
                <w:rtl w:val="0"/>
              </w:rPr>
              <w:t xml:space="preserve">High Yield Investment Account</w:t>
            </w:r>
            <w:r w:rsidDel="00000000" w:rsidR="00000000" w:rsidRPr="00000000">
              <w:rPr>
                <w:rtl w:val="0"/>
              </w:rPr>
            </w:r>
          </w:p>
        </w:tc>
        <w:tc>
          <w:tcPr>
            <w:tcBorders>
              <w:top w:color="ffffff" w:space="0" w:sz="8" w:val="single"/>
              <w:left w:color="000000" w:space="0" w:sz="0" w:val="nil"/>
              <w:bottom w:color="000000" w:space="0" w:sz="0" w:val="nil"/>
            </w:tcBorders>
            <w:shd w:fill="d9d9d9" w:val="clear"/>
            <w:vAlign w:val="center"/>
          </w:tcPr>
          <w:p w:rsidR="00000000" w:rsidDel="00000000" w:rsidP="00000000" w:rsidRDefault="00000000" w:rsidRPr="00000000" w14:paraId="0000024E">
            <w:pPr>
              <w:jc w:val="right"/>
              <w:rPr/>
            </w:pPr>
            <w:r w:rsidDel="00000000" w:rsidR="00000000" w:rsidRPr="00000000">
              <w:rPr>
                <w:rtl w:val="0"/>
              </w:rPr>
              <w:t xml:space="preserve">$2,383,354</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F">
            <w:pPr>
              <w:spacing w:after="40" w:before="40" w:line="240" w:lineRule="auto"/>
              <w:rPr/>
            </w:pPr>
            <w:r w:rsidDel="00000000" w:rsidR="00000000" w:rsidRPr="00000000">
              <w:rPr>
                <w:b w:val="0"/>
                <w:rtl w:val="0"/>
              </w:rPr>
              <w:t xml:space="preserve">Official Account</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50">
            <w:pPr>
              <w:jc w:val="right"/>
              <w:rPr/>
            </w:pPr>
            <w:r w:rsidDel="00000000" w:rsidR="00000000" w:rsidRPr="00000000">
              <w:rPr>
                <w:rtl w:val="0"/>
              </w:rPr>
              <w:t xml:space="preserve">$391,380</w:t>
            </w:r>
          </w:p>
        </w:tc>
      </w:tr>
      <w:tr>
        <w:trPr>
          <w:cantSplit w:val="0"/>
          <w:trHeight w:val="284" w:hRule="atLeast"/>
          <w:tblHeader w:val="0"/>
        </w:trPr>
        <w:tc>
          <w:tcPr>
            <w:tcBorders>
              <w:top w:color="000000" w:space="0" w:sz="0" w:val="nil"/>
              <w:bottom w:color="ffffff" w:space="0" w:sz="8" w:val="single"/>
              <w:right w:color="000000" w:space="0" w:sz="0" w:val="nil"/>
            </w:tcBorders>
            <w:shd w:fill="d9d9d9" w:val="clear"/>
            <w:vAlign w:val="center"/>
          </w:tcPr>
          <w:p w:rsidR="00000000" w:rsidDel="00000000" w:rsidP="00000000" w:rsidRDefault="00000000" w:rsidRPr="00000000" w14:paraId="00000251">
            <w:pPr>
              <w:spacing w:after="40" w:before="40" w:line="240" w:lineRule="auto"/>
              <w:rPr/>
            </w:pPr>
            <w:r w:rsidDel="00000000" w:rsidR="00000000" w:rsidRPr="00000000">
              <w:rPr>
                <w:b w:val="0"/>
                <w:rtl w:val="0"/>
              </w:rPr>
              <w:t xml:space="preserve">Other Accounts</w:t>
            </w:r>
            <w:r w:rsidDel="00000000" w:rsidR="00000000" w:rsidRPr="00000000">
              <w:rPr>
                <w:rtl w:val="0"/>
              </w:rPr>
            </w:r>
          </w:p>
        </w:tc>
        <w:tc>
          <w:tcPr>
            <w:tcBorders>
              <w:top w:color="000000" w:space="0" w:sz="0" w:val="nil"/>
              <w:left w:color="000000" w:space="0" w:sz="0" w:val="nil"/>
              <w:bottom w:color="ffffff" w:space="0" w:sz="8" w:val="single"/>
            </w:tcBorders>
            <w:shd w:fill="d9d9d9" w:val="clear"/>
            <w:vAlign w:val="center"/>
          </w:tcPr>
          <w:p w:rsidR="00000000" w:rsidDel="00000000" w:rsidP="00000000" w:rsidRDefault="00000000" w:rsidRPr="00000000" w14:paraId="00000252">
            <w:pPr>
              <w:jc w:val="right"/>
              <w:rPr/>
            </w:pPr>
            <w:r w:rsidDel="00000000" w:rsidR="00000000" w:rsidRPr="00000000">
              <w:rPr>
                <w:rtl w:val="0"/>
              </w:rPr>
              <w:t xml:space="preserve">$0</w:t>
            </w:r>
          </w:p>
        </w:tc>
      </w:tr>
      <w:tr>
        <w:trPr>
          <w:cantSplit w:val="0"/>
          <w:trHeight w:val="284" w:hRule="atLeast"/>
          <w:tblHeader w:val="0"/>
        </w:trPr>
        <w:tc>
          <w:tcPr>
            <w:tcBorders>
              <w:top w:color="ffffff" w:space="0" w:sz="8" w:val="single"/>
              <w:bottom w:color="ffffff" w:space="0" w:sz="8" w:val="single"/>
              <w:right w:color="ffffff" w:space="0" w:sz="8" w:val="single"/>
            </w:tcBorders>
            <w:shd w:fill="a6a6a6" w:val="clear"/>
            <w:vAlign w:val="center"/>
          </w:tcPr>
          <w:p w:rsidR="00000000" w:rsidDel="00000000" w:rsidP="00000000" w:rsidRDefault="00000000" w:rsidRPr="00000000" w14:paraId="00000253">
            <w:pPr>
              <w:spacing w:after="40" w:before="40" w:line="240" w:lineRule="auto"/>
              <w:rPr/>
            </w:pPr>
            <w:r w:rsidDel="00000000" w:rsidR="00000000" w:rsidRPr="00000000">
              <w:rPr>
                <w:rtl w:val="0"/>
              </w:rPr>
              <w:t xml:space="preserve">Total Funds Available</w:t>
            </w:r>
          </w:p>
        </w:tc>
        <w:tc>
          <w:tcPr>
            <w:tcBorders>
              <w:top w:color="ffffff" w:space="0" w:sz="8" w:val="single"/>
              <w:left w:color="ffffff" w:space="0" w:sz="8" w:val="single"/>
              <w:bottom w:color="ffffff" w:space="0" w:sz="8" w:val="single"/>
            </w:tcBorders>
            <w:shd w:fill="ffc000" w:val="clear"/>
            <w:vAlign w:val="center"/>
          </w:tcPr>
          <w:p w:rsidR="00000000" w:rsidDel="00000000" w:rsidP="00000000" w:rsidRDefault="00000000" w:rsidRPr="00000000" w14:paraId="00000254">
            <w:pPr>
              <w:jc w:val="right"/>
              <w:rPr>
                <w:b w:val="1"/>
              </w:rPr>
            </w:pPr>
            <w:r w:rsidDel="00000000" w:rsidR="00000000" w:rsidRPr="00000000">
              <w:rPr>
                <w:b w:val="1"/>
                <w:rtl w:val="0"/>
              </w:rPr>
              <w:t xml:space="preserve">$2,774,734</w:t>
            </w:r>
          </w:p>
        </w:tc>
      </w:tr>
    </w:tbl>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8"/>
        <w:tblW w:w="6193.0" w:type="dxa"/>
        <w:jc w:val="center"/>
        <w:tblBorders>
          <w:top w:color="ffffff" w:space="0" w:sz="4" w:val="single"/>
          <w:left w:color="000000" w:space="0" w:sz="4" w:val="single"/>
          <w:bottom w:color="ffffff" w:space="0" w:sz="4" w:val="single"/>
          <w:right w:color="000000" w:space="0" w:sz="4" w:val="single"/>
          <w:insideH w:color="ffffff" w:space="0" w:sz="4" w:val="single"/>
          <w:insideV w:color="ffffff" w:space="0" w:sz="4" w:val="single"/>
        </w:tblBorders>
        <w:tblLayout w:type="fixed"/>
        <w:tblLook w:val="04A0"/>
      </w:tblPr>
      <w:tblGrid>
        <w:gridCol w:w="4396"/>
        <w:gridCol w:w="1797"/>
        <w:tblGridChange w:id="0">
          <w:tblGrid>
            <w:gridCol w:w="4396"/>
            <w:gridCol w:w="1797"/>
          </w:tblGrid>
        </w:tblGridChange>
      </w:tblGrid>
      <w:tr>
        <w:trPr>
          <w:cantSplit w:val="0"/>
          <w:trHeight w:val="284" w:hRule="atLeast"/>
          <w:tblHeader w:val="1"/>
        </w:trPr>
        <w:tc>
          <w:tcPr>
            <w:tcBorders>
              <w:bottom w:color="ffffff" w:space="0" w:sz="8" w:val="single"/>
              <w:right w:color="ffffff" w:space="0" w:sz="8" w:val="single"/>
            </w:tcBorders>
            <w:shd w:fill="a6a6a6" w:val="clear"/>
            <w:vAlign w:val="center"/>
          </w:tcPr>
          <w:p w:rsidR="00000000" w:rsidDel="00000000" w:rsidP="00000000" w:rsidRDefault="00000000" w:rsidRPr="00000000" w14:paraId="00000256">
            <w:pPr>
              <w:spacing w:after="40" w:before="40" w:line="240" w:lineRule="auto"/>
              <w:rPr/>
            </w:pPr>
            <w:r w:rsidDel="00000000" w:rsidR="00000000" w:rsidRPr="00000000">
              <w:rPr>
                <w:rtl w:val="0"/>
              </w:rPr>
              <w:t xml:space="preserve">Financial Commitments</w:t>
            </w:r>
          </w:p>
        </w:tc>
        <w:tc>
          <w:tcPr>
            <w:tcBorders>
              <w:left w:color="ffffff" w:space="0" w:sz="8" w:val="single"/>
              <w:bottom w:color="ffffff" w:space="0" w:sz="8" w:val="single"/>
            </w:tcBorders>
            <w:shd w:fill="ffc000" w:val="clear"/>
            <w:vAlign w:val="center"/>
          </w:tcPr>
          <w:p w:rsidR="00000000" w:rsidDel="00000000" w:rsidP="00000000" w:rsidRDefault="00000000" w:rsidRPr="00000000" w14:paraId="00000257">
            <w:pPr>
              <w:spacing w:after="40" w:before="40" w:line="240" w:lineRule="auto"/>
              <w:jc w:val="right"/>
              <w:rPr/>
            </w:pPr>
            <w:r w:rsidDel="00000000" w:rsidR="00000000" w:rsidRPr="00000000">
              <w:rPr>
                <w:rtl w:val="0"/>
              </w:rPr>
              <w:t xml:space="preserve">Actual</w:t>
            </w:r>
          </w:p>
        </w:tc>
      </w:tr>
      <w:tr>
        <w:trPr>
          <w:cantSplit w:val="0"/>
          <w:trHeight w:val="284" w:hRule="atLeast"/>
          <w:tblHeader w:val="0"/>
        </w:trPr>
        <w:tc>
          <w:tcPr>
            <w:tcBorders>
              <w:top w:color="ffffff" w:space="0" w:sz="8" w:val="single"/>
              <w:bottom w:color="000000" w:space="0" w:sz="0" w:val="nil"/>
              <w:right w:color="000000" w:space="0" w:sz="0" w:val="nil"/>
            </w:tcBorders>
            <w:shd w:fill="d9d9d9" w:val="clear"/>
            <w:vAlign w:val="center"/>
          </w:tcPr>
          <w:p w:rsidR="00000000" w:rsidDel="00000000" w:rsidP="00000000" w:rsidRDefault="00000000" w:rsidRPr="00000000" w14:paraId="00000258">
            <w:pPr>
              <w:spacing w:after="40" w:before="40" w:line="240" w:lineRule="auto"/>
              <w:rPr/>
            </w:pPr>
            <w:r w:rsidDel="00000000" w:rsidR="00000000" w:rsidRPr="00000000">
              <w:rPr>
                <w:b w:val="0"/>
                <w:rtl w:val="0"/>
              </w:rPr>
              <w:t xml:space="preserve">Operating Reserve</w:t>
            </w:r>
            <w:r w:rsidDel="00000000" w:rsidR="00000000" w:rsidRPr="00000000">
              <w:rPr>
                <w:rtl w:val="0"/>
              </w:rPr>
            </w:r>
          </w:p>
        </w:tc>
        <w:tc>
          <w:tcPr>
            <w:tcBorders>
              <w:top w:color="ffffff" w:space="0" w:sz="8" w:val="single"/>
              <w:left w:color="000000" w:space="0" w:sz="0" w:val="nil"/>
              <w:bottom w:color="000000" w:space="0" w:sz="0" w:val="nil"/>
            </w:tcBorders>
            <w:shd w:fill="d9d9d9" w:val="clear"/>
            <w:vAlign w:val="center"/>
          </w:tcPr>
          <w:p w:rsidR="00000000" w:rsidDel="00000000" w:rsidP="00000000" w:rsidRDefault="00000000" w:rsidRPr="00000000" w14:paraId="00000259">
            <w:pPr>
              <w:jc w:val="right"/>
              <w:rPr/>
            </w:pPr>
            <w:r w:rsidDel="00000000" w:rsidR="00000000" w:rsidRPr="00000000">
              <w:rPr>
                <w:rtl w:val="0"/>
              </w:rPr>
              <w:t xml:space="preserve">$514,015</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5A">
            <w:pPr>
              <w:spacing w:after="40" w:before="40" w:line="240" w:lineRule="auto"/>
              <w:rPr/>
            </w:pPr>
            <w:r w:rsidDel="00000000" w:rsidR="00000000" w:rsidRPr="00000000">
              <w:rPr>
                <w:b w:val="0"/>
                <w:rtl w:val="0"/>
              </w:rPr>
              <w:t xml:space="preserve">Other Recurrent Expenditure</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5B">
            <w:pPr>
              <w:jc w:val="right"/>
              <w:rPr/>
            </w:pPr>
            <w:r w:rsidDel="00000000" w:rsidR="00000000" w:rsidRPr="00000000">
              <w:rPr>
                <w:rtl w:val="0"/>
              </w:rPr>
              <w:t xml:space="preserve">($12)</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5C">
            <w:pPr>
              <w:spacing w:after="40" w:before="40" w:line="240" w:lineRule="auto"/>
              <w:rPr/>
            </w:pPr>
            <w:r w:rsidDel="00000000" w:rsidR="00000000" w:rsidRPr="00000000">
              <w:rPr>
                <w:b w:val="0"/>
                <w:rtl w:val="0"/>
              </w:rPr>
              <w:t xml:space="preserve">Provision Accounts</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5D">
            <w:pPr>
              <w:jc w:val="right"/>
              <w:rPr/>
            </w:pPr>
            <w:r w:rsidDel="00000000" w:rsidR="00000000" w:rsidRPr="00000000">
              <w:rPr>
                <w:rtl w:val="0"/>
              </w:rPr>
              <w:t xml:space="preserve">$20,486</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5E">
            <w:pPr>
              <w:spacing w:after="40" w:before="40" w:line="240" w:lineRule="auto"/>
              <w:rPr/>
            </w:pPr>
            <w:r w:rsidDel="00000000" w:rsidR="00000000" w:rsidRPr="00000000">
              <w:rPr>
                <w:b w:val="0"/>
                <w:rtl w:val="0"/>
              </w:rPr>
              <w:t xml:space="preserve">Funds Received in Advance</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5F">
            <w:pPr>
              <w:jc w:val="right"/>
              <w:rPr/>
            </w:pPr>
            <w:r w:rsidDel="00000000" w:rsidR="00000000" w:rsidRPr="00000000">
              <w:rPr>
                <w:rtl w:val="0"/>
              </w:rPr>
              <w:t xml:space="preserve">$39,938</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60">
            <w:pPr>
              <w:spacing w:after="40" w:before="40" w:line="240" w:lineRule="auto"/>
              <w:rPr/>
            </w:pPr>
            <w:r w:rsidDel="00000000" w:rsidR="00000000" w:rsidRPr="00000000">
              <w:rPr>
                <w:b w:val="0"/>
                <w:rtl w:val="0"/>
              </w:rPr>
              <w:t xml:space="preserve">School Based Programs</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61">
            <w:pPr>
              <w:jc w:val="right"/>
              <w:rPr/>
            </w:pPr>
            <w:r w:rsidDel="00000000" w:rsidR="00000000" w:rsidRPr="00000000">
              <w:rPr>
                <w:rtl w:val="0"/>
              </w:rPr>
              <w:t xml:space="preserve">$876,969</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62">
            <w:pPr>
              <w:spacing w:after="40" w:before="40" w:line="240" w:lineRule="auto"/>
              <w:rPr/>
            </w:pPr>
            <w:r w:rsidDel="00000000" w:rsidR="00000000" w:rsidRPr="00000000">
              <w:rPr>
                <w:b w:val="0"/>
                <w:rtl w:val="0"/>
              </w:rPr>
              <w:t xml:space="preserve">Beneficiary/Memorial Accounts</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63">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64">
            <w:pPr>
              <w:spacing w:after="40" w:before="40" w:line="240" w:lineRule="auto"/>
              <w:rPr/>
            </w:pPr>
            <w:r w:rsidDel="00000000" w:rsidR="00000000" w:rsidRPr="00000000">
              <w:rPr>
                <w:b w:val="0"/>
                <w:rtl w:val="0"/>
              </w:rPr>
              <w:t xml:space="preserve">Cooperative Bank Account</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65">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66">
            <w:pPr>
              <w:spacing w:after="40" w:before="40" w:line="240" w:lineRule="auto"/>
              <w:rPr/>
            </w:pPr>
            <w:r w:rsidDel="00000000" w:rsidR="00000000" w:rsidRPr="00000000">
              <w:rPr>
                <w:b w:val="0"/>
                <w:rtl w:val="0"/>
              </w:rPr>
              <w:t xml:space="preserve">Funds for Committees/Shared Arrangements</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67">
            <w:pPr>
              <w:jc w:val="right"/>
              <w:rPr/>
            </w:pPr>
            <w:r w:rsidDel="00000000" w:rsidR="00000000" w:rsidRPr="00000000">
              <w:rPr>
                <w:rtl w:val="0"/>
              </w:rPr>
              <w:t xml:space="preserve">$92,246</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68">
            <w:pPr>
              <w:spacing w:after="40" w:before="40" w:line="240" w:lineRule="auto"/>
              <w:rPr/>
            </w:pPr>
            <w:r w:rsidDel="00000000" w:rsidR="00000000" w:rsidRPr="00000000">
              <w:rPr>
                <w:b w:val="0"/>
                <w:rtl w:val="0"/>
              </w:rPr>
              <w:t xml:space="preserve">Repayable to the Department</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69">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6A">
            <w:pPr>
              <w:spacing w:after="40" w:before="40" w:line="240" w:lineRule="auto"/>
              <w:rPr/>
            </w:pPr>
            <w:r w:rsidDel="00000000" w:rsidR="00000000" w:rsidRPr="00000000">
              <w:rPr>
                <w:b w:val="0"/>
                <w:rtl w:val="0"/>
              </w:rPr>
              <w:t xml:space="preserve">Asset/Equipment Replacement &lt; 12 months</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6B">
            <w:pPr>
              <w:jc w:val="right"/>
              <w:rPr/>
            </w:pPr>
            <w:r w:rsidDel="00000000" w:rsidR="00000000" w:rsidRPr="00000000">
              <w:rPr>
                <w:rtl w:val="0"/>
              </w:rPr>
              <w:t xml:space="preserve">$156,750</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6C">
            <w:pPr>
              <w:spacing w:after="40" w:before="40" w:line="240" w:lineRule="auto"/>
              <w:rPr/>
            </w:pPr>
            <w:r w:rsidDel="00000000" w:rsidR="00000000" w:rsidRPr="00000000">
              <w:rPr>
                <w:b w:val="0"/>
                <w:rtl w:val="0"/>
              </w:rPr>
              <w:t xml:space="preserve">Capital - Buildings/Grounds &lt; 12 months</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6D">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6E">
            <w:pPr>
              <w:spacing w:after="40" w:before="40" w:line="240" w:lineRule="auto"/>
              <w:rPr/>
            </w:pPr>
            <w:r w:rsidDel="00000000" w:rsidR="00000000" w:rsidRPr="00000000">
              <w:rPr>
                <w:b w:val="0"/>
                <w:rtl w:val="0"/>
              </w:rPr>
              <w:t xml:space="preserve">Maintenance - Buildings/Grounds &lt; 12 months</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6F">
            <w:pPr>
              <w:jc w:val="right"/>
              <w:rPr/>
            </w:pPr>
            <w:r w:rsidDel="00000000" w:rsidR="00000000" w:rsidRPr="00000000">
              <w:rPr>
                <w:rtl w:val="0"/>
              </w:rPr>
              <w:t xml:space="preserve">$250,000</w:t>
            </w:r>
          </w:p>
        </w:tc>
      </w:tr>
      <w:tr>
        <w:trPr>
          <w:cantSplit w:val="0"/>
          <w:trHeight w:val="284" w:hRule="atLeast"/>
          <w:tblHeader w:val="0"/>
        </w:trPr>
        <w:tc>
          <w:tcPr>
            <w:tcBorders>
              <w:top w:color="000000" w:space="0" w:sz="0" w:val="nil"/>
              <w:bottom w:color="000000" w:space="0" w:sz="0" w:val="nil"/>
              <w:right w:color="000000" w:space="0" w:sz="0" w:val="nil"/>
            </w:tcBorders>
            <w:shd w:fill="d9d9d9" w:val="clear"/>
          </w:tcPr>
          <w:p w:rsidR="00000000" w:rsidDel="00000000" w:rsidP="00000000" w:rsidRDefault="00000000" w:rsidRPr="00000000" w14:paraId="00000270">
            <w:pPr>
              <w:spacing w:after="40" w:before="40" w:line="240" w:lineRule="auto"/>
              <w:rPr/>
            </w:pPr>
            <w:r w:rsidDel="00000000" w:rsidR="00000000" w:rsidRPr="00000000">
              <w:rPr>
                <w:b w:val="0"/>
                <w:rtl w:val="0"/>
              </w:rPr>
              <w:t xml:space="preserve">Asset/Equipment Replacement &gt; 12 months</w:t>
            </w:r>
            <w:r w:rsidDel="00000000" w:rsidR="00000000" w:rsidRPr="00000000">
              <w:rPr>
                <w:rtl w:val="0"/>
              </w:rPr>
            </w:r>
          </w:p>
        </w:tc>
        <w:tc>
          <w:tcPr>
            <w:tcBorders>
              <w:top w:color="000000" w:space="0" w:sz="0" w:val="nil"/>
              <w:left w:color="000000" w:space="0" w:sz="0" w:val="nil"/>
              <w:bottom w:color="000000" w:space="0" w:sz="0" w:val="nil"/>
            </w:tcBorders>
            <w:shd w:fill="d9d9d9" w:val="clear"/>
            <w:vAlign w:val="center"/>
          </w:tcPr>
          <w:p w:rsidR="00000000" w:rsidDel="00000000" w:rsidP="00000000" w:rsidRDefault="00000000" w:rsidRPr="00000000" w14:paraId="00000271">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000000" w:space="0" w:sz="0" w:val="nil"/>
              <w:right w:color="000000" w:space="0" w:sz="0" w:val="nil"/>
            </w:tcBorders>
            <w:shd w:fill="f2f2f2" w:val="clear"/>
          </w:tcPr>
          <w:p w:rsidR="00000000" w:rsidDel="00000000" w:rsidP="00000000" w:rsidRDefault="00000000" w:rsidRPr="00000000" w14:paraId="00000272">
            <w:pPr>
              <w:spacing w:after="40" w:before="40" w:line="240" w:lineRule="auto"/>
              <w:rPr/>
            </w:pPr>
            <w:r w:rsidDel="00000000" w:rsidR="00000000" w:rsidRPr="00000000">
              <w:rPr>
                <w:b w:val="0"/>
                <w:rtl w:val="0"/>
              </w:rPr>
              <w:t xml:space="preserve">Capital - Buildings/Grounds &gt; 12 months</w:t>
            </w:r>
            <w:r w:rsidDel="00000000" w:rsidR="00000000" w:rsidRPr="00000000">
              <w:rPr>
                <w:rtl w:val="0"/>
              </w:rPr>
            </w:r>
          </w:p>
        </w:tc>
        <w:tc>
          <w:tcPr>
            <w:tcBorders>
              <w:top w:color="000000" w:space="0" w:sz="0" w:val="nil"/>
              <w:left w:color="000000" w:space="0" w:sz="0" w:val="nil"/>
              <w:bottom w:color="000000" w:space="0" w:sz="0" w:val="nil"/>
            </w:tcBorders>
            <w:shd w:fill="f2f2f2" w:val="clear"/>
            <w:vAlign w:val="center"/>
          </w:tcPr>
          <w:p w:rsidR="00000000" w:rsidDel="00000000" w:rsidP="00000000" w:rsidRDefault="00000000" w:rsidRPr="00000000" w14:paraId="00000273">
            <w:pPr>
              <w:jc w:val="right"/>
              <w:rPr/>
            </w:pPr>
            <w:r w:rsidDel="00000000" w:rsidR="00000000" w:rsidRPr="00000000">
              <w:rPr>
                <w:rtl w:val="0"/>
              </w:rPr>
              <w:t xml:space="preserve">$0</w:t>
            </w:r>
          </w:p>
        </w:tc>
      </w:tr>
      <w:tr>
        <w:trPr>
          <w:cantSplit w:val="0"/>
          <w:trHeight w:val="284" w:hRule="atLeast"/>
          <w:tblHeader w:val="0"/>
        </w:trPr>
        <w:tc>
          <w:tcPr>
            <w:tcBorders>
              <w:top w:color="000000" w:space="0" w:sz="0" w:val="nil"/>
              <w:bottom w:color="ffffff" w:space="0" w:sz="8" w:val="single"/>
              <w:right w:color="000000" w:space="0" w:sz="0" w:val="nil"/>
            </w:tcBorders>
            <w:shd w:fill="d9d9d9" w:val="clear"/>
          </w:tcPr>
          <w:p w:rsidR="00000000" w:rsidDel="00000000" w:rsidP="00000000" w:rsidRDefault="00000000" w:rsidRPr="00000000" w14:paraId="00000274">
            <w:pPr>
              <w:spacing w:after="40" w:before="40" w:line="240" w:lineRule="auto"/>
              <w:rPr/>
            </w:pPr>
            <w:r w:rsidDel="00000000" w:rsidR="00000000" w:rsidRPr="00000000">
              <w:rPr>
                <w:b w:val="0"/>
                <w:rtl w:val="0"/>
              </w:rPr>
              <w:t xml:space="preserve">Maintenance - Buildings/Grounds &gt; 12 months</w:t>
            </w:r>
            <w:r w:rsidDel="00000000" w:rsidR="00000000" w:rsidRPr="00000000">
              <w:rPr>
                <w:rtl w:val="0"/>
              </w:rPr>
            </w:r>
          </w:p>
        </w:tc>
        <w:tc>
          <w:tcPr>
            <w:tcBorders>
              <w:top w:color="000000" w:space="0" w:sz="0" w:val="nil"/>
              <w:left w:color="000000" w:space="0" w:sz="0" w:val="nil"/>
              <w:bottom w:color="ffffff" w:space="0" w:sz="8" w:val="single"/>
            </w:tcBorders>
            <w:shd w:fill="d9d9d9" w:val="clear"/>
            <w:vAlign w:val="center"/>
          </w:tcPr>
          <w:p w:rsidR="00000000" w:rsidDel="00000000" w:rsidP="00000000" w:rsidRDefault="00000000" w:rsidRPr="00000000" w14:paraId="00000275">
            <w:pPr>
              <w:jc w:val="right"/>
              <w:rPr/>
            </w:pPr>
            <w:r w:rsidDel="00000000" w:rsidR="00000000" w:rsidRPr="00000000">
              <w:rPr>
                <w:rtl w:val="0"/>
              </w:rPr>
              <w:t xml:space="preserve">$500,000</w:t>
            </w:r>
          </w:p>
        </w:tc>
      </w:tr>
      <w:tr>
        <w:trPr>
          <w:cantSplit w:val="0"/>
          <w:trHeight w:val="284" w:hRule="atLeast"/>
          <w:tblHeader w:val="0"/>
        </w:trPr>
        <w:tc>
          <w:tcPr>
            <w:tcBorders>
              <w:top w:color="ffffff" w:space="0" w:sz="8" w:val="single"/>
              <w:bottom w:color="000000" w:space="0" w:sz="0" w:val="nil"/>
              <w:right w:color="ffffff" w:space="0" w:sz="8" w:val="single"/>
            </w:tcBorders>
            <w:shd w:fill="a6a6a6" w:val="clear"/>
            <w:vAlign w:val="center"/>
          </w:tcPr>
          <w:p w:rsidR="00000000" w:rsidDel="00000000" w:rsidP="00000000" w:rsidRDefault="00000000" w:rsidRPr="00000000" w14:paraId="00000276">
            <w:pPr>
              <w:spacing w:after="40" w:before="40" w:line="240" w:lineRule="auto"/>
              <w:rPr/>
            </w:pPr>
            <w:r w:rsidDel="00000000" w:rsidR="00000000" w:rsidRPr="00000000">
              <w:rPr>
                <w:rtl w:val="0"/>
              </w:rPr>
              <w:t xml:space="preserve">Total Financial Commitments</w:t>
            </w:r>
          </w:p>
        </w:tc>
        <w:tc>
          <w:tcPr>
            <w:tcBorders>
              <w:top w:color="ffffff" w:space="0" w:sz="8" w:val="single"/>
              <w:left w:color="ffffff" w:space="0" w:sz="8" w:val="single"/>
              <w:bottom w:color="000000" w:space="0" w:sz="0" w:val="nil"/>
            </w:tcBorders>
            <w:shd w:fill="ffc000" w:val="clear"/>
            <w:vAlign w:val="center"/>
          </w:tcPr>
          <w:p w:rsidR="00000000" w:rsidDel="00000000" w:rsidP="00000000" w:rsidRDefault="00000000" w:rsidRPr="00000000" w14:paraId="00000277">
            <w:pPr>
              <w:jc w:val="right"/>
              <w:rPr>
                <w:b w:val="1"/>
              </w:rPr>
            </w:pPr>
            <w:r w:rsidDel="00000000" w:rsidR="00000000" w:rsidRPr="00000000">
              <w:rPr>
                <w:b w:val="1"/>
                <w:rtl w:val="0"/>
              </w:rPr>
              <w:t xml:space="preserve">$2,450,392</w:t>
            </w:r>
          </w:p>
        </w:tc>
      </w:tr>
    </w:tbl>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headerReference r:id="rId43" w:type="default"/>
      <w:headerReference r:id="rId44" w:type="first"/>
      <w:footerReference r:id="rId45" w:type="default"/>
      <w:type w:val="continuous"/>
      <w:pgSz w:h="16838" w:w="11906" w:orient="portrait"/>
      <w:pgMar w:bottom="709" w:top="1276" w:left="567" w:right="567" w:header="142" w:footer="3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rPr/>
    </w:pPr>
    <w:r w:rsidDel="00000000" w:rsidR="00000000" w:rsidRPr="00000000">
      <w:rPr>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2" w:right="25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6985</wp:posOffset>
          </wp:positionV>
          <wp:extent cx="7549200" cy="10670400"/>
          <wp:effectExtent b="0" l="0" r="0" t="0"/>
          <wp:wrapNone/>
          <wp:docPr id="1983185937" name="image18.png"/>
          <a:graphic>
            <a:graphicData uri="http://schemas.openxmlformats.org/drawingml/2006/picture">
              <pic:pic>
                <pic:nvPicPr>
                  <pic:cNvPr id="0" name="image18.png"/>
                  <pic:cNvPicPr preferRelativeResize="0"/>
                </pic:nvPicPr>
                <pic:blipFill>
                  <a:blip r:embed="rId1"/>
                  <a:srcRect b="0" l="0" r="0" t="0"/>
                  <a:stretch>
                    <a:fillRect/>
                  </a:stretch>
                </pic:blipFill>
                <pic:spPr>
                  <a:xfrm>
                    <a:off x="0" y="0"/>
                    <a:ext cx="7549200" cy="10670400"/>
                  </a:xfrm>
                  <a:prstGeom prst="rect"/>
                  <a:ln/>
                </pic:spPr>
              </pic:pic>
            </a:graphicData>
          </a:graphic>
        </wp:anchor>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3" name=""/>
              <a:graphic>
                <a:graphicData uri="http://schemas.microsoft.com/office/word/2010/wordprocessingShape">
                  <wps:wsp>
                    <wps:cNvSpPr/>
                    <wps:cNvPr id="2" name="Shape 2"/>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7883858</wp:posOffset>
          </wp:positionH>
          <wp:positionV relativeFrom="paragraph">
            <wp:posOffset>-378459</wp:posOffset>
          </wp:positionV>
          <wp:extent cx="1991003" cy="743054"/>
          <wp:effectExtent b="0" l="0" r="0" t="0"/>
          <wp:wrapNone/>
          <wp:docPr id="198318594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991003" cy="7430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3" cy="5846298"/>
              <wp:effectExtent b="0" l="0" r="0" t="0"/>
              <wp:wrapNone/>
              <wp:docPr id="1983185931" name=""/>
              <a:graphic>
                <a:graphicData uri="http://schemas.microsoft.com/office/word/2010/wordprocessingShape">
                  <wps:wsp>
                    <wps:cNvSpPr/>
                    <wps:cNvPr id="10" name="Shape 10"/>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3" cy="5846298"/>
              <wp:effectExtent b="0" l="0" r="0" t="0"/>
              <wp:wrapNone/>
              <wp:docPr id="1983185931"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347213" cy="5846298"/>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4" name=""/>
              <a:graphic>
                <a:graphicData uri="http://schemas.microsoft.com/office/word/2010/wordprocessingShape">
                  <wps:wsp>
                    <wps:cNvSpPr/>
                    <wps:cNvPr id="3" name="Shape 3"/>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574060" cy="474979"/>
          <wp:effectExtent b="0" l="0" r="0" t="0"/>
          <wp:docPr id="19831859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4060" cy="4749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Geelong Secondary College </w:t>
    </w: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3" name=""/>
              <a:graphic>
                <a:graphicData uri="http://schemas.microsoft.com/office/word/2010/wordprocessingShape">
                  <wps:wsp>
                    <wps:cNvSpPr/>
                    <wps:cNvPr id="12" name="Shape 12"/>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3"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3" cy="5846298"/>
              <wp:effectExtent b="0" l="0" r="0" t="0"/>
              <wp:wrapNone/>
              <wp:docPr id="1983185927" name=""/>
              <a:graphic>
                <a:graphicData uri="http://schemas.microsoft.com/office/word/2010/wordprocessingShape">
                  <wps:wsp>
                    <wps:cNvSpPr/>
                    <wps:cNvPr id="6" name="Shape 6"/>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3" cy="5846298"/>
              <wp:effectExtent b="0" l="0" r="0" t="0"/>
              <wp:wrapNone/>
              <wp:docPr id="198318592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347213" cy="5846298"/>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5" name=""/>
              <a:graphic>
                <a:graphicData uri="http://schemas.microsoft.com/office/word/2010/wordprocessingShape">
                  <wps:wsp>
                    <wps:cNvSpPr/>
                    <wps:cNvPr id="14" name="Shape 14"/>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5"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9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6" name=""/>
              <a:graphic>
                <a:graphicData uri="http://schemas.microsoft.com/office/word/2010/wordprocessingShape">
                  <wps:wsp>
                    <wps:cNvSpPr/>
                    <wps:cNvPr id="5" name="Shape 5"/>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574060" cy="474979"/>
          <wp:effectExtent b="0" l="0" r="0" t="0"/>
          <wp:docPr id="198318594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4060" cy="4749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Geelong Secondary College </w:t>
    </w: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8" name=""/>
              <a:graphic>
                <a:graphicData uri="http://schemas.microsoft.com/office/word/2010/wordprocessingShape">
                  <wps:wsp>
                    <wps:cNvSpPr/>
                    <wps:cNvPr id="7" name="Shape 7"/>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8"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9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5" name=""/>
              <a:graphic>
                <a:graphicData uri="http://schemas.microsoft.com/office/word/2010/wordprocessingShape">
                  <wps:wsp>
                    <wps:cNvSpPr/>
                    <wps:cNvPr id="4" name="Shape 4"/>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2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9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0" name=""/>
              <a:graphic>
                <a:graphicData uri="http://schemas.microsoft.com/office/word/2010/wordprocessingShape">
                  <wps:wsp>
                    <wps:cNvSpPr/>
                    <wps:cNvPr id="9" name="Shape 9"/>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drawing>
        <wp:inline distB="0" distT="0" distL="0" distR="0">
          <wp:extent cx="1574060" cy="474979"/>
          <wp:effectExtent b="0" l="0" r="0" t="0"/>
          <wp:docPr id="198318594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4060" cy="4749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Geelong Secondary College </w:t>
    </w: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2" name=""/>
              <a:graphic>
                <a:graphicData uri="http://schemas.microsoft.com/office/word/2010/wordprocessingShape">
                  <wps:wsp>
                    <wps:cNvSpPr/>
                    <wps:cNvPr id="11" name="Shape 11"/>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51686" cy="5850771"/>
              <wp:effectExtent b="0" l="0" r="0" t="0"/>
              <wp:wrapNone/>
              <wp:docPr id="1983185932"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351686" cy="585077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lineRule="auto"/>
    </w:pPr>
    <w:rPr>
      <w:b w:val="1"/>
      <w:smallCaps w:val="1"/>
      <w:color w:val="af272f"/>
      <w:sz w:val="20"/>
      <w:szCs w:val="20"/>
    </w:rPr>
  </w:style>
  <w:style w:type="paragraph" w:styleId="Heading2">
    <w:name w:val="heading 2"/>
    <w:basedOn w:val="Normal"/>
    <w:next w:val="Normal"/>
    <w:pPr>
      <w:keepNext w:val="1"/>
      <w:keepLines w:val="1"/>
      <w:pBdr>
        <w:top w:color="af272f" w:space="3" w:sz="8" w:val="single"/>
      </w:pBdr>
      <w:spacing w:after="40" w:before="300" w:lineRule="auto"/>
    </w:pPr>
    <w:rPr>
      <w:b w:val="1"/>
      <w:smallCaps w:val="1"/>
      <w:color w:val="af272f"/>
      <w:sz w:val="20"/>
      <w:szCs w:val="20"/>
    </w:rPr>
  </w:style>
  <w:style w:type="paragraph" w:styleId="Heading3">
    <w:name w:val="heading 3"/>
    <w:basedOn w:val="Normal"/>
    <w:next w:val="Normal"/>
    <w:pPr>
      <w:spacing w:before="240" w:lineRule="auto"/>
    </w:pPr>
    <w:rPr>
      <w:b w:val="1"/>
      <w:color w:val="000000"/>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af272f"/>
      <w:sz w:val="44"/>
      <w:szCs w:val="44"/>
      <w:u w:val="none"/>
      <w:shd w:fill="auto" w:val="clear"/>
      <w:vertAlign w:val="baseline"/>
    </w:rPr>
  </w:style>
  <w:style w:type="paragraph" w:styleId="Normal" w:default="1">
    <w:name w:val="Normal"/>
    <w:semiHidden w:val="1"/>
    <w:qFormat w:val="1"/>
    <w:rsid w:val="00127682"/>
    <w:pPr>
      <w:spacing w:after="120" w:line="240" w:lineRule="atLeast"/>
    </w:pPr>
    <w:rPr>
      <w:rFonts w:ascii="Arial" w:cs="Arial" w:hAnsi="Arial"/>
      <w:sz w:val="18"/>
      <w:szCs w:val="18"/>
    </w:rPr>
  </w:style>
  <w:style w:type="paragraph" w:styleId="Heading1">
    <w:name w:val="heading 1"/>
    <w:basedOn w:val="Normal"/>
    <w:next w:val="Normal"/>
    <w:link w:val="Heading1Char"/>
    <w:uiPriority w:val="9"/>
    <w:semiHidden w:val="1"/>
    <w:qFormat w:val="1"/>
    <w:locked w:val="1"/>
    <w:rsid w:val="009F2302"/>
    <w:pPr>
      <w:keepNext w:val="1"/>
      <w:keepLines w:val="1"/>
      <w:spacing w:after="40"/>
      <w:outlineLvl w:val="0"/>
    </w:pPr>
    <w:rPr>
      <w:rFonts w:cstheme="majorBidi" w:eastAsiaTheme="majorEastAsia"/>
      <w:b w:val="1"/>
      <w:bCs w:val="1"/>
      <w:caps w:val="1"/>
      <w:color w:val="af272f"/>
      <w:sz w:val="20"/>
      <w:szCs w:val="20"/>
    </w:rPr>
  </w:style>
  <w:style w:type="paragraph" w:styleId="Heading2">
    <w:name w:val="heading 2"/>
    <w:basedOn w:val="Heading1"/>
    <w:next w:val="Normal"/>
    <w:link w:val="Heading2Char"/>
    <w:uiPriority w:val="9"/>
    <w:semiHidden w:val="1"/>
    <w:qFormat w:val="1"/>
    <w:locked w:val="1"/>
    <w:rsid w:val="00751081"/>
    <w:pPr>
      <w:pBdr>
        <w:top w:color="af272f" w:space="3" w:sz="8" w:val="single"/>
      </w:pBdr>
      <w:spacing w:before="300"/>
      <w:outlineLvl w:val="1"/>
    </w:pPr>
    <w:rPr>
      <w:bCs w:val="0"/>
    </w:rPr>
  </w:style>
  <w:style w:type="paragraph" w:styleId="Heading3">
    <w:name w:val="heading 3"/>
    <w:basedOn w:val="Normal"/>
    <w:next w:val="Normal"/>
    <w:link w:val="Heading3Char"/>
    <w:uiPriority w:val="9"/>
    <w:semiHidden w:val="1"/>
    <w:qFormat w:val="1"/>
    <w:locked w:val="1"/>
    <w:rsid w:val="00600EB1"/>
    <w:pPr>
      <w:spacing w:before="240"/>
      <w:outlineLvl w:val="2"/>
    </w:pPr>
    <w:rPr>
      <w:b w:val="1"/>
      <w:color w:val="000000" w:themeColor="text1"/>
      <w:sz w:val="20"/>
    </w:rPr>
  </w:style>
  <w:style w:type="paragraph" w:styleId="Heading4">
    <w:name w:val="heading 4"/>
    <w:basedOn w:val="Normal"/>
    <w:next w:val="Normal"/>
    <w:link w:val="Heading4Char"/>
    <w:uiPriority w:val="9"/>
    <w:semiHidden w:val="1"/>
    <w:unhideWhenUsed w:val="1"/>
    <w:qFormat w:val="1"/>
    <w:locked w:val="1"/>
    <w:rsid w:val="00B13A07"/>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SHeading1" w:customStyle="1">
    <w:name w:val="ES_Heading 1"/>
    <w:basedOn w:val="Title"/>
    <w:qFormat w:val="1"/>
    <w:rsid w:val="00D049D0"/>
  </w:style>
  <w:style w:type="paragraph" w:styleId="Quote">
    <w:name w:val="Quote"/>
    <w:basedOn w:val="Normal"/>
    <w:next w:val="Normal"/>
    <w:link w:val="QuoteChar"/>
    <w:uiPriority w:val="29"/>
    <w:semiHidden w:val="1"/>
    <w:qFormat w:val="1"/>
    <w:locked w:val="1"/>
    <w:rsid w:val="00D31299"/>
    <w:pPr>
      <w:spacing w:after="60" w:line="300" w:lineRule="atLeast"/>
    </w:pPr>
    <w:rPr>
      <w:b w:val="1"/>
      <w:bCs w:val="1"/>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styleId="FooterChar" w:customStyle="1">
    <w:name w:val="Footer Char"/>
    <w:basedOn w:val="DefaultParagraphFont"/>
    <w:link w:val="Footer"/>
    <w:uiPriority w:val="99"/>
    <w:rsid w:val="005711D2"/>
    <w:rPr>
      <w:rFonts w:ascii="Arial" w:cs="Arial" w:hAnsi="Arial"/>
      <w:sz w:val="18"/>
      <w:szCs w:val="18"/>
    </w:rPr>
  </w:style>
  <w:style w:type="paragraph" w:styleId="ESIntroParagraph" w:customStyle="1">
    <w:name w:val="ES_Intro Paragraph"/>
    <w:basedOn w:val="Subtitle"/>
    <w:qFormat w:val="1"/>
    <w:rsid w:val="00D049D0"/>
  </w:style>
  <w:style w:type="paragraph" w:styleId="ESHeading2" w:customStyle="1">
    <w:name w:val="ES_Heading 2"/>
    <w:basedOn w:val="Heading1"/>
    <w:qFormat w:val="1"/>
    <w:rsid w:val="00895870"/>
    <w:pPr>
      <w:spacing w:after="120" w:before="240"/>
    </w:pPr>
  </w:style>
  <w:style w:type="paragraph" w:styleId="Subtitle">
    <w:name w:val="Subtitle"/>
    <w:basedOn w:val="Normal"/>
    <w:next w:val="Normal"/>
    <w:link w:val="SubtitleChar"/>
    <w:uiPriority w:val="11"/>
    <w:semiHidden w:val="1"/>
    <w:qFormat w:val="1"/>
    <w:locked w:val="1"/>
    <w:rsid w:val="00980015"/>
    <w:pPr>
      <w:numPr>
        <w:ilvl w:val="1"/>
      </w:numPr>
      <w:spacing w:after="0"/>
    </w:pPr>
    <w:rPr>
      <w:rFonts w:cstheme="majorBidi" w:eastAsiaTheme="majorEastAsia"/>
      <w:color w:val="5a5a59"/>
      <w:sz w:val="27"/>
      <w:szCs w:val="27"/>
    </w:rPr>
  </w:style>
  <w:style w:type="character" w:styleId="SubtitleChar" w:customStyle="1">
    <w:name w:val="Subtitle Char"/>
    <w:basedOn w:val="DefaultParagraphFont"/>
    <w:link w:val="Subtitle"/>
    <w:uiPriority w:val="11"/>
    <w:semiHidden w:val="1"/>
    <w:rsid w:val="005711D2"/>
    <w:rPr>
      <w:rFonts w:ascii="Arial" w:hAnsi="Arial" w:cstheme="majorBidi" w:eastAsiaTheme="majorEastAsia"/>
      <w:color w:val="5a5a59"/>
      <w:sz w:val="27"/>
      <w:szCs w:val="27"/>
    </w:rPr>
  </w:style>
  <w:style w:type="character" w:styleId="SubtleEmphasis">
    <w:name w:val="Subtle Emphasis"/>
    <w:basedOn w:val="DefaultParagraphFont"/>
    <w:uiPriority w:val="19"/>
    <w:semiHidden w:val="1"/>
    <w:locked w:val="1"/>
    <w:rsid w:val="00326F48"/>
    <w:rPr>
      <w:i w:val="1"/>
      <w:iCs w:val="1"/>
      <w:color w:val="808080" w:themeColor="text1" w:themeTint="00007F"/>
    </w:rPr>
  </w:style>
  <w:style w:type="character" w:styleId="IntenseEmphasis">
    <w:name w:val="Intense Emphasis"/>
    <w:basedOn w:val="DefaultParagraphFont"/>
    <w:uiPriority w:val="21"/>
    <w:semiHidden w:val="1"/>
    <w:locked w:val="1"/>
    <w:rsid w:val="00600EB1"/>
    <w:rPr>
      <w:b w:val="1"/>
      <w:bCs w:val="1"/>
      <w:i w:val="1"/>
      <w:iCs w:val="1"/>
      <w:color w:val="c00000"/>
    </w:rPr>
  </w:style>
  <w:style w:type="character" w:styleId="Emphasis">
    <w:name w:val="Emphasis"/>
    <w:basedOn w:val="DefaultParagraphFont"/>
    <w:uiPriority w:val="20"/>
    <w:semiHidden w:val="1"/>
    <w:locked w:val="1"/>
    <w:rsid w:val="00326F48"/>
    <w:rPr>
      <w:i w:val="1"/>
      <w:iCs w:val="1"/>
    </w:rPr>
  </w:style>
  <w:style w:type="character" w:styleId="Heading1Char" w:customStyle="1">
    <w:name w:val="Heading 1 Char"/>
    <w:basedOn w:val="DefaultParagraphFont"/>
    <w:link w:val="Heading1"/>
    <w:uiPriority w:val="9"/>
    <w:semiHidden w:val="1"/>
    <w:rsid w:val="005711D2"/>
    <w:rPr>
      <w:rFonts w:ascii="Arial" w:hAnsi="Arial" w:cstheme="majorBidi" w:eastAsiaTheme="majorEastAsia"/>
      <w:b w:val="1"/>
      <w:bCs w:val="1"/>
      <w:caps w:val="1"/>
      <w:color w:val="af272f"/>
      <w:sz w:val="20"/>
      <w:szCs w:val="20"/>
    </w:rPr>
  </w:style>
  <w:style w:type="paragraph" w:styleId="Title">
    <w:name w:val="Title"/>
    <w:next w:val="Subtitle"/>
    <w:link w:val="TitleChar"/>
    <w:uiPriority w:val="10"/>
    <w:semiHidden w:val="1"/>
    <w:qFormat w:val="1"/>
    <w:locked w:val="1"/>
    <w:rsid w:val="009F2302"/>
    <w:pPr>
      <w:spacing w:after="120" w:line="340" w:lineRule="atLeast"/>
      <w:outlineLvl w:val="0"/>
    </w:pPr>
    <w:rPr>
      <w:rFonts w:ascii="Arial" w:hAnsi="Arial" w:cstheme="majorBidi" w:eastAsiaTheme="majorEastAsia"/>
      <w:b w:val="1"/>
      <w:color w:val="af272f"/>
      <w:spacing w:val="5"/>
      <w:kern w:val="28"/>
      <w:sz w:val="44"/>
      <w:szCs w:val="52"/>
    </w:rPr>
  </w:style>
  <w:style w:type="character" w:styleId="TitleChar" w:customStyle="1">
    <w:name w:val="Title Char"/>
    <w:basedOn w:val="DefaultParagraphFont"/>
    <w:link w:val="Title"/>
    <w:uiPriority w:val="10"/>
    <w:semiHidden w:val="1"/>
    <w:rsid w:val="005711D2"/>
    <w:rPr>
      <w:rFonts w:ascii="Arial" w:hAnsi="Arial" w:cstheme="majorBidi" w:eastAsiaTheme="majorEastAsia"/>
      <w:b w:val="1"/>
      <w:color w:val="af272f"/>
      <w:spacing w:val="5"/>
      <w:kern w:val="28"/>
      <w:sz w:val="44"/>
      <w:szCs w:val="52"/>
    </w:rPr>
  </w:style>
  <w:style w:type="character" w:styleId="QuoteChar" w:customStyle="1">
    <w:name w:val="Quote Char"/>
    <w:basedOn w:val="DefaultParagraphFont"/>
    <w:link w:val="Quote"/>
    <w:uiPriority w:val="29"/>
    <w:semiHidden w:val="1"/>
    <w:rsid w:val="005711D2"/>
    <w:rPr>
      <w:rFonts w:ascii="Arial" w:cs="Arial" w:hAnsi="Arial"/>
      <w:b w:val="1"/>
      <w:bCs w:val="1"/>
      <w:color w:val="5a5a59"/>
      <w:szCs w:val="25"/>
    </w:rPr>
  </w:style>
  <w:style w:type="paragraph" w:styleId="EndnoteText">
    <w:name w:val="endnote text"/>
    <w:basedOn w:val="Normal"/>
    <w:link w:val="EndnoteTextChar"/>
    <w:uiPriority w:val="99"/>
    <w:semiHidden w:val="1"/>
    <w:qFormat w:val="1"/>
    <w:locked w:val="1"/>
    <w:rsid w:val="00980015"/>
    <w:pPr>
      <w:spacing w:after="240" w:before="120"/>
    </w:pPr>
    <w:rPr>
      <w:b w:val="1"/>
      <w:color w:val="5a5a59"/>
      <w:szCs w:val="24"/>
    </w:rPr>
  </w:style>
  <w:style w:type="character" w:styleId="EndnoteTextChar" w:customStyle="1">
    <w:name w:val="Endnote Text Char"/>
    <w:basedOn w:val="DefaultParagraphFont"/>
    <w:link w:val="EndnoteText"/>
    <w:uiPriority w:val="99"/>
    <w:semiHidden w:val="1"/>
    <w:rsid w:val="005711D2"/>
    <w:rPr>
      <w:rFonts w:ascii="Arial" w:cs="Arial" w:hAnsi="Arial"/>
      <w:b w:val="1"/>
      <w:color w:val="5a5a59"/>
      <w:sz w:val="18"/>
    </w:rPr>
  </w:style>
  <w:style w:type="character" w:styleId="Heading2Char" w:customStyle="1">
    <w:name w:val="Heading 2 Char"/>
    <w:basedOn w:val="DefaultParagraphFont"/>
    <w:link w:val="Heading2"/>
    <w:uiPriority w:val="9"/>
    <w:semiHidden w:val="1"/>
    <w:rsid w:val="005711D2"/>
    <w:rPr>
      <w:rFonts w:ascii="Arial" w:hAnsi="Arial" w:cstheme="majorBidi" w:eastAsiaTheme="majorEastAsia"/>
      <w:b w:val="1"/>
      <w:caps w:val="1"/>
      <w:color w:val="af272f"/>
      <w:sz w:val="20"/>
      <w:szCs w:val="20"/>
    </w:rPr>
  </w:style>
  <w:style w:type="character" w:styleId="Strong">
    <w:name w:val="Strong"/>
    <w:basedOn w:val="DefaultParagraphFont"/>
    <w:uiPriority w:val="22"/>
    <w:qFormat w:val="1"/>
    <w:locked w:val="1"/>
    <w:rsid w:val="00980015"/>
    <w:rPr>
      <w:b w:val="1"/>
      <w:bCs w:val="1"/>
    </w:rPr>
  </w:style>
  <w:style w:type="paragraph" w:styleId="Header">
    <w:name w:val="header"/>
    <w:basedOn w:val="Normal"/>
    <w:link w:val="HeaderChar"/>
    <w:uiPriority w:val="99"/>
    <w:semiHidden w:val="1"/>
    <w:locked w:val="1"/>
    <w:rsid w:val="0078479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5711D2"/>
    <w:rPr>
      <w:rFonts w:ascii="Arial" w:cs="Arial" w:hAnsi="Arial"/>
      <w:sz w:val="18"/>
      <w:szCs w:val="18"/>
    </w:rPr>
  </w:style>
  <w:style w:type="character" w:styleId="Heading3Char" w:customStyle="1">
    <w:name w:val="Heading 3 Char"/>
    <w:basedOn w:val="DefaultParagraphFont"/>
    <w:link w:val="Heading3"/>
    <w:uiPriority w:val="9"/>
    <w:semiHidden w:val="1"/>
    <w:rsid w:val="005711D2"/>
    <w:rPr>
      <w:rFonts w:ascii="Arial" w:cs="Arial" w:hAnsi="Arial"/>
      <w:b w:val="1"/>
      <w:color w:val="000000" w:themeColor="text1"/>
      <w:sz w:val="20"/>
      <w:szCs w:val="18"/>
    </w:rPr>
  </w:style>
  <w:style w:type="paragraph" w:styleId="TOAHeading">
    <w:name w:val="toa heading"/>
    <w:basedOn w:val="Normal"/>
    <w:next w:val="Normal"/>
    <w:uiPriority w:val="99"/>
    <w:semiHidden w:val="1"/>
    <w:locked w:val="1"/>
    <w:rsid w:val="00751081"/>
    <w:pPr>
      <w:spacing w:before="120"/>
    </w:pPr>
    <w:rPr>
      <w:rFonts w:asciiTheme="majorHAnsi" w:cstheme="majorBidi" w:eastAsiaTheme="majorEastAsia" w:hAnsiTheme="majorHAnsi"/>
      <w:b w:val="1"/>
      <w:bCs w:val="1"/>
      <w:sz w:val="24"/>
      <w:szCs w:val="24"/>
    </w:rPr>
  </w:style>
  <w:style w:type="paragraph" w:styleId="TOCHeading">
    <w:name w:val="TOC Heading"/>
    <w:basedOn w:val="Heading1"/>
    <w:next w:val="Normal"/>
    <w:uiPriority w:val="39"/>
    <w:semiHidden w:val="1"/>
    <w:qFormat w:val="1"/>
    <w:locked w:val="1"/>
    <w:rsid w:val="000F155E"/>
    <w:pPr>
      <w:spacing w:after="0" w:before="240"/>
      <w:outlineLvl w:val="9"/>
    </w:pPr>
    <w:rPr>
      <w:rFonts w:asciiTheme="majorHAnsi" w:hAnsiTheme="majorHAnsi"/>
      <w:b w:val="0"/>
      <w:bCs w:val="0"/>
      <w:caps w:val="0"/>
      <w:color w:val="365f91" w:themeColor="accent1" w:themeShade="0000BF"/>
      <w:sz w:val="32"/>
      <w:szCs w:val="32"/>
    </w:rPr>
  </w:style>
  <w:style w:type="paragraph" w:styleId="ESHeading3" w:customStyle="1">
    <w:name w:val="ES_Heading 3"/>
    <w:basedOn w:val="Heading3"/>
    <w:qFormat w:val="1"/>
    <w:rsid w:val="00583B58"/>
    <w:pPr>
      <w:spacing w:after="60" w:before="160"/>
    </w:pPr>
  </w:style>
  <w:style w:type="paragraph" w:styleId="ESBodyText" w:customStyle="1">
    <w:name w:val="ES_Body Text"/>
    <w:basedOn w:val="Normal"/>
    <w:uiPriority w:val="99"/>
    <w:qFormat w:val="1"/>
    <w:rsid w:val="00D049D0"/>
  </w:style>
  <w:style w:type="paragraph" w:styleId="FootnoteText">
    <w:name w:val="footnote text"/>
    <w:basedOn w:val="Normal"/>
    <w:link w:val="FootnoteTextChar"/>
    <w:uiPriority w:val="99"/>
    <w:unhideWhenUsed w:val="1"/>
    <w:locked w:val="1"/>
    <w:rsid w:val="00271F77"/>
    <w:pPr>
      <w:spacing w:after="40" w:line="240" w:lineRule="auto"/>
    </w:pPr>
    <w:rPr>
      <w:sz w:val="11"/>
      <w:szCs w:val="11"/>
    </w:rPr>
  </w:style>
  <w:style w:type="paragraph" w:styleId="NoteLevel1" w:customStyle="1">
    <w:name w:val="Note Level 1"/>
    <w:basedOn w:val="Normal"/>
    <w:uiPriority w:val="99"/>
    <w:locked w:val="1"/>
    <w:rsid w:val="00895870"/>
    <w:pPr>
      <w:keepNext w:val="1"/>
      <w:numPr>
        <w:numId w:val="11"/>
      </w:numPr>
      <w:spacing w:before="120"/>
      <w:ind w:left="284"/>
      <w:contextualSpacing w:val="1"/>
      <w:outlineLvl w:val="0"/>
    </w:pPr>
  </w:style>
  <w:style w:type="paragraph" w:styleId="NoteLevel2" w:customStyle="1">
    <w:name w:val="Note Level 2"/>
    <w:basedOn w:val="Normal"/>
    <w:uiPriority w:val="99"/>
    <w:locked w:val="1"/>
    <w:rsid w:val="00D84C0F"/>
    <w:pPr>
      <w:keepNext w:val="1"/>
      <w:numPr>
        <w:ilvl w:val="1"/>
        <w:numId w:val="11"/>
      </w:numPr>
      <w:spacing w:after="0"/>
      <w:ind w:firstLine="164"/>
      <w:contextualSpacing w:val="1"/>
      <w:outlineLvl w:val="1"/>
    </w:pPr>
  </w:style>
  <w:style w:type="paragraph" w:styleId="NoteLevel3" w:customStyle="1">
    <w:name w:val="Note Level 3"/>
    <w:basedOn w:val="Normal"/>
    <w:uiPriority w:val="99"/>
    <w:locked w:val="1"/>
    <w:rsid w:val="00D84C0F"/>
    <w:pPr>
      <w:keepNext w:val="1"/>
      <w:numPr>
        <w:ilvl w:val="2"/>
        <w:numId w:val="11"/>
      </w:numPr>
      <w:spacing w:after="0"/>
      <w:ind w:firstLine="164"/>
      <w:contextualSpacing w:val="1"/>
      <w:outlineLvl w:val="2"/>
    </w:pPr>
  </w:style>
  <w:style w:type="paragraph" w:styleId="NoteLevel4" w:customStyle="1">
    <w:name w:val="Note Level 4"/>
    <w:basedOn w:val="Normal"/>
    <w:uiPriority w:val="99"/>
    <w:locked w:val="1"/>
    <w:rsid w:val="00D84C0F"/>
    <w:pPr>
      <w:keepNext w:val="1"/>
      <w:numPr>
        <w:ilvl w:val="3"/>
        <w:numId w:val="11"/>
      </w:numPr>
      <w:spacing w:after="0"/>
      <w:ind w:firstLine="164"/>
      <w:contextualSpacing w:val="1"/>
      <w:outlineLvl w:val="3"/>
    </w:pPr>
  </w:style>
  <w:style w:type="paragraph" w:styleId="NoteLevel5" w:customStyle="1">
    <w:name w:val="Note Level 5"/>
    <w:basedOn w:val="Normal"/>
    <w:uiPriority w:val="99"/>
    <w:locked w:val="1"/>
    <w:rsid w:val="00D84C0F"/>
    <w:pPr>
      <w:keepNext w:val="1"/>
      <w:numPr>
        <w:ilvl w:val="4"/>
        <w:numId w:val="11"/>
      </w:numPr>
      <w:spacing w:after="0"/>
      <w:ind w:left="1985" w:firstLine="164"/>
      <w:contextualSpacing w:val="1"/>
      <w:outlineLvl w:val="4"/>
    </w:pPr>
  </w:style>
  <w:style w:type="paragraph" w:styleId="NoteLevel6" w:customStyle="1">
    <w:name w:val="Note Level 6"/>
    <w:basedOn w:val="Normal"/>
    <w:uiPriority w:val="99"/>
    <w:locked w:val="1"/>
    <w:rsid w:val="00D84C0F"/>
    <w:pPr>
      <w:keepNext w:val="1"/>
      <w:numPr>
        <w:ilvl w:val="5"/>
        <w:numId w:val="11"/>
      </w:numPr>
      <w:spacing w:after="0"/>
      <w:ind w:firstLine="164"/>
      <w:contextualSpacing w:val="1"/>
      <w:outlineLvl w:val="5"/>
    </w:pPr>
  </w:style>
  <w:style w:type="paragraph" w:styleId="NoteLevel7" w:customStyle="1">
    <w:name w:val="Note Level 7"/>
    <w:basedOn w:val="NoteLevel5"/>
    <w:uiPriority w:val="99"/>
    <w:locked w:val="1"/>
    <w:rsid w:val="00D84C0F"/>
    <w:pPr>
      <w:ind w:left="3402" w:firstLine="0"/>
    </w:pPr>
  </w:style>
  <w:style w:type="character" w:styleId="FootnoteTextChar" w:customStyle="1">
    <w:name w:val="Footnote Text Char"/>
    <w:basedOn w:val="DefaultParagraphFont"/>
    <w:link w:val="FootnoteText"/>
    <w:uiPriority w:val="99"/>
    <w:rsid w:val="00271F77"/>
    <w:rPr>
      <w:rFonts w:ascii="Arial" w:cs="Arial" w:hAnsi="Arial"/>
      <w:sz w:val="11"/>
      <w:szCs w:val="11"/>
    </w:rPr>
  </w:style>
  <w:style w:type="paragraph" w:styleId="NoteLevel8" w:customStyle="1">
    <w:name w:val="Note Level 8"/>
    <w:basedOn w:val="Normal"/>
    <w:uiPriority w:val="99"/>
    <w:locked w:val="1"/>
    <w:rsid w:val="00D84C0F"/>
    <w:pPr>
      <w:keepNext w:val="1"/>
      <w:numPr>
        <w:ilvl w:val="7"/>
        <w:numId w:val="11"/>
      </w:numPr>
      <w:spacing w:after="0"/>
      <w:contextualSpacing w:val="1"/>
      <w:outlineLvl w:val="7"/>
    </w:pPr>
  </w:style>
  <w:style w:type="paragraph" w:styleId="ESImageorGraphTitle" w:customStyle="1">
    <w:name w:val="ES_Image or Graph Title"/>
    <w:basedOn w:val="ESHeading2"/>
    <w:qFormat w:val="1"/>
    <w:rsid w:val="006935C9"/>
    <w:pPr>
      <w:spacing w:after="200" w:before="320"/>
    </w:pPr>
    <w:rPr>
      <w:caps w:val="0"/>
      <w:sz w:val="18"/>
    </w:rPr>
  </w:style>
  <w:style w:type="character" w:styleId="FootnoteReference">
    <w:name w:val="footnote reference"/>
    <w:basedOn w:val="DefaultParagraphFont"/>
    <w:uiPriority w:val="99"/>
    <w:unhideWhenUsed w:val="1"/>
    <w:locked w:val="1"/>
    <w:rsid w:val="00271F77"/>
    <w:rPr>
      <w:color w:val="af272f"/>
      <w:sz w:val="13"/>
      <w:szCs w:val="13"/>
      <w:vertAlign w:val="superscript"/>
    </w:rPr>
  </w:style>
  <w:style w:type="paragraph" w:styleId="ESSubheading1" w:customStyle="1">
    <w:name w:val="ES_Subheading 1"/>
    <w:basedOn w:val="ESIntroParagraph"/>
    <w:qFormat w:val="1"/>
    <w:rsid w:val="00D84C0F"/>
    <w:pPr>
      <w:ind w:left="-567"/>
    </w:pPr>
    <w:rPr>
      <w:color w:val="af272f"/>
      <w:sz w:val="28"/>
    </w:rPr>
  </w:style>
  <w:style w:type="paragraph" w:styleId="ESSubheading1White" w:customStyle="1">
    <w:name w:val="ES_Subheading 1 (White)"/>
    <w:basedOn w:val="ESSubheading1"/>
    <w:qFormat w:val="1"/>
    <w:rsid w:val="00D84C0F"/>
    <w:rPr>
      <w:color w:val="ffffff" w:themeColor="background1"/>
    </w:rPr>
  </w:style>
  <w:style w:type="paragraph" w:styleId="ESQuote" w:customStyle="1">
    <w:name w:val="ES_Quote"/>
    <w:basedOn w:val="Quote"/>
    <w:qFormat w:val="1"/>
    <w:rsid w:val="0057654B"/>
    <w:pPr>
      <w:spacing w:after="200" w:before="320" w:line="320" w:lineRule="atLeast"/>
    </w:pPr>
    <w:rPr>
      <w:b w:val="0"/>
      <w:i w:val="1"/>
    </w:rPr>
  </w:style>
  <w:style w:type="paragraph" w:styleId="ESQuoteAuthor" w:customStyle="1">
    <w:name w:val="ES_Quote Author"/>
    <w:basedOn w:val="EndnoteText"/>
    <w:qFormat w:val="1"/>
    <w:rsid w:val="00D84C0F"/>
  </w:style>
  <w:style w:type="paragraph" w:styleId="NoteLevel9" w:customStyle="1">
    <w:name w:val="Note Level 9"/>
    <w:basedOn w:val="Normal"/>
    <w:uiPriority w:val="99"/>
    <w:locked w:val="1"/>
    <w:rsid w:val="00D84C0F"/>
    <w:pPr>
      <w:keepNext w:val="1"/>
      <w:numPr>
        <w:ilvl w:val="8"/>
        <w:numId w:val="11"/>
      </w:numPr>
      <w:spacing w:after="0"/>
      <w:contextualSpacing w:val="1"/>
      <w:outlineLvl w:val="8"/>
    </w:pPr>
  </w:style>
  <w:style w:type="character" w:styleId="WHITE" w:customStyle="1">
    <w:name w:val="WHITE"/>
    <w:basedOn w:val="DefaultParagraphFont"/>
    <w:uiPriority w:val="1"/>
    <w:qFormat w:val="1"/>
    <w:rsid w:val="000F4C22"/>
    <w:rPr>
      <w:color w:val="eeece1" w:themeColor="background2"/>
    </w:rPr>
  </w:style>
  <w:style w:type="paragraph" w:styleId="TOC3">
    <w:name w:val="toc 3"/>
    <w:basedOn w:val="Normal"/>
    <w:next w:val="Normal"/>
    <w:autoRedefine w:val="1"/>
    <w:uiPriority w:val="39"/>
    <w:unhideWhenUsed w:val="1"/>
    <w:locked w:val="1"/>
    <w:rsid w:val="00895870"/>
    <w:pPr>
      <w:ind w:left="360"/>
    </w:pPr>
  </w:style>
  <w:style w:type="paragraph" w:styleId="TOC1">
    <w:name w:val="toc 1"/>
    <w:basedOn w:val="Normal"/>
    <w:next w:val="Normal"/>
    <w:autoRedefine w:val="1"/>
    <w:uiPriority w:val="39"/>
    <w:unhideWhenUsed w:val="1"/>
    <w:locked w:val="1"/>
    <w:rsid w:val="00895870"/>
    <w:pPr>
      <w:tabs>
        <w:tab w:val="right" w:leader="dot" w:pos="9346"/>
      </w:tabs>
      <w:spacing w:after="100"/>
    </w:pPr>
    <w:rPr>
      <w:b w:val="1"/>
      <w:color w:val="af272f"/>
    </w:rPr>
  </w:style>
  <w:style w:type="paragraph" w:styleId="TOC2">
    <w:name w:val="toc 2"/>
    <w:basedOn w:val="Normal"/>
    <w:next w:val="Normal"/>
    <w:autoRedefine w:val="1"/>
    <w:uiPriority w:val="39"/>
    <w:unhideWhenUsed w:val="1"/>
    <w:locked w:val="1"/>
    <w:rsid w:val="00895870"/>
    <w:pPr>
      <w:spacing w:after="100"/>
      <w:ind w:left="180"/>
    </w:pPr>
    <w:rPr>
      <w:color w:val="af272f"/>
    </w:rPr>
  </w:style>
  <w:style w:type="paragraph" w:styleId="TOC4">
    <w:name w:val="toc 4"/>
    <w:basedOn w:val="Normal"/>
    <w:next w:val="Normal"/>
    <w:autoRedefine w:val="1"/>
    <w:uiPriority w:val="39"/>
    <w:unhideWhenUsed w:val="1"/>
    <w:locked w:val="1"/>
    <w:rsid w:val="00895870"/>
    <w:pPr>
      <w:ind w:left="540"/>
    </w:pPr>
  </w:style>
  <w:style w:type="paragraph" w:styleId="TOC5">
    <w:name w:val="toc 5"/>
    <w:basedOn w:val="Normal"/>
    <w:next w:val="Normal"/>
    <w:autoRedefine w:val="1"/>
    <w:uiPriority w:val="39"/>
    <w:unhideWhenUsed w:val="1"/>
    <w:locked w:val="1"/>
    <w:rsid w:val="00895870"/>
    <w:pPr>
      <w:ind w:left="720"/>
    </w:pPr>
  </w:style>
  <w:style w:type="paragraph" w:styleId="TOC6">
    <w:name w:val="toc 6"/>
    <w:basedOn w:val="Normal"/>
    <w:next w:val="Normal"/>
    <w:autoRedefine w:val="1"/>
    <w:uiPriority w:val="39"/>
    <w:unhideWhenUsed w:val="1"/>
    <w:locked w:val="1"/>
    <w:rsid w:val="00895870"/>
    <w:pPr>
      <w:ind w:left="900"/>
    </w:pPr>
  </w:style>
  <w:style w:type="paragraph" w:styleId="TOC7">
    <w:name w:val="toc 7"/>
    <w:basedOn w:val="Normal"/>
    <w:next w:val="Normal"/>
    <w:autoRedefine w:val="1"/>
    <w:uiPriority w:val="39"/>
    <w:unhideWhenUsed w:val="1"/>
    <w:locked w:val="1"/>
    <w:rsid w:val="00895870"/>
    <w:pPr>
      <w:ind w:left="1080"/>
    </w:pPr>
  </w:style>
  <w:style w:type="paragraph" w:styleId="TOC8">
    <w:name w:val="toc 8"/>
    <w:basedOn w:val="Normal"/>
    <w:next w:val="Normal"/>
    <w:autoRedefine w:val="1"/>
    <w:uiPriority w:val="39"/>
    <w:unhideWhenUsed w:val="1"/>
    <w:locked w:val="1"/>
    <w:rsid w:val="00895870"/>
    <w:pPr>
      <w:ind w:left="1260"/>
    </w:pPr>
  </w:style>
  <w:style w:type="paragraph" w:styleId="TOC9">
    <w:name w:val="toc 9"/>
    <w:basedOn w:val="Normal"/>
    <w:next w:val="Normal"/>
    <w:autoRedefine w:val="1"/>
    <w:uiPriority w:val="39"/>
    <w:unhideWhenUsed w:val="1"/>
    <w:locked w:val="1"/>
    <w:rsid w:val="00895870"/>
    <w:pPr>
      <w:ind w:left="1440"/>
    </w:pPr>
  </w:style>
  <w:style w:type="character" w:styleId="EndnoteReference">
    <w:name w:val="endnote reference"/>
    <w:uiPriority w:val="99"/>
    <w:unhideWhenUsed w:val="1"/>
    <w:locked w:val="1"/>
    <w:rsid w:val="00271F77"/>
    <w:rPr>
      <w:b w:val="0"/>
      <w:i w:val="0"/>
      <w:sz w:val="15"/>
      <w:szCs w:val="15"/>
      <w:lang w:val="en-AU"/>
    </w:rPr>
  </w:style>
  <w:style w:type="paragraph" w:styleId="ESDisclaimer" w:customStyle="1">
    <w:name w:val="ES_Disclaimer"/>
    <w:basedOn w:val="Normal"/>
    <w:qFormat w:val="1"/>
    <w:rsid w:val="00271F77"/>
    <w:pPr>
      <w:spacing w:after="40" w:line="240" w:lineRule="auto"/>
    </w:pPr>
    <w:rPr>
      <w:rFonts w:cstheme="minorHAnsi"/>
      <w:color w:val="7f7f7f" w:themeColor="text1" w:themeTint="000080"/>
      <w:sz w:val="13"/>
      <w:szCs w:val="13"/>
    </w:rPr>
  </w:style>
  <w:style w:type="table" w:styleId="TableGrid1" w:customStyle="1">
    <w:name w:val="Table Grid1"/>
    <w:basedOn w:val="TableNormal"/>
    <w:next w:val="TableGrid"/>
    <w:uiPriority w:val="59"/>
    <w:rsid w:val="00F97B56"/>
    <w:rPr>
      <w:rFonts w:eastAsia="Arial"/>
      <w:sz w:val="22"/>
      <w:szCs w:val="22"/>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locked w:val="1"/>
    <w:rsid w:val="00F97B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locked w:val="1"/>
    <w:rsid w:val="00F97B56"/>
    <w:pPr>
      <w:ind w:left="720"/>
      <w:contextualSpacing w:val="1"/>
    </w:pPr>
  </w:style>
  <w:style w:type="paragraph" w:styleId="ESWhiteTableHeading" w:customStyle="1">
    <w:name w:val="ES_White Table Heading"/>
    <w:basedOn w:val="Normal"/>
    <w:qFormat w:val="1"/>
    <w:rsid w:val="00F8548F"/>
    <w:rPr>
      <w:rFonts w:eastAsia="Arial"/>
      <w:b w:val="1"/>
      <w:color w:val="ffffff" w:themeColor="background1"/>
      <w:sz w:val="20"/>
      <w:szCs w:val="20"/>
      <w:lang w:val="en-AU"/>
    </w:rPr>
  </w:style>
  <w:style w:type="paragraph" w:styleId="ESBulletsinTable" w:customStyle="1">
    <w:name w:val="ES_Bullets in Table"/>
    <w:basedOn w:val="ListParagraph"/>
    <w:qFormat w:val="1"/>
    <w:rsid w:val="00226B71"/>
    <w:pPr>
      <w:numPr>
        <w:numId w:val="17"/>
      </w:numPr>
      <w:spacing w:after="80" w:line="240" w:lineRule="auto"/>
    </w:pPr>
    <w:rPr>
      <w:rFonts w:cs="Times New Roman" w:eastAsia="Arial"/>
      <w:szCs w:val="22"/>
      <w:lang w:val="en-AU"/>
    </w:rPr>
  </w:style>
  <w:style w:type="paragraph" w:styleId="ESBulletsinTableLevel2" w:customStyle="1">
    <w:name w:val="ES_Bullets in Table Level 2"/>
    <w:basedOn w:val="ListParagraph"/>
    <w:qFormat w:val="1"/>
    <w:rsid w:val="00226B71"/>
    <w:pPr>
      <w:numPr>
        <w:ilvl w:val="1"/>
        <w:numId w:val="17"/>
      </w:numPr>
      <w:spacing w:after="80" w:line="240" w:lineRule="auto"/>
      <w:ind w:left="592"/>
    </w:pPr>
    <w:rPr>
      <w:rFonts w:cs="Times New Roman" w:eastAsia="Arial"/>
      <w:szCs w:val="22"/>
      <w:lang w:val="en-AU"/>
    </w:rPr>
  </w:style>
  <w:style w:type="character" w:styleId="Red" w:customStyle="1">
    <w:name w:val="Red"/>
    <w:basedOn w:val="DefaultParagraphFont"/>
    <w:uiPriority w:val="1"/>
    <w:qFormat w:val="1"/>
    <w:rsid w:val="007B2B29"/>
    <w:rPr>
      <w:color w:val="ffffff" w:themeColor="background1"/>
    </w:rPr>
  </w:style>
  <w:style w:type="character" w:styleId="PageNumber">
    <w:name w:val="page number"/>
    <w:basedOn w:val="DefaultParagraphFont"/>
    <w:uiPriority w:val="99"/>
    <w:semiHidden w:val="1"/>
    <w:unhideWhenUsed w:val="1"/>
    <w:locked w:val="1"/>
    <w:rsid w:val="007B2B29"/>
  </w:style>
  <w:style w:type="paragraph" w:styleId="NormalWeb">
    <w:name w:val="Normal (Web)"/>
    <w:basedOn w:val="Normal"/>
    <w:uiPriority w:val="99"/>
    <w:semiHidden w:val="1"/>
    <w:unhideWhenUsed w:val="1"/>
    <w:locked w:val="1"/>
    <w:rsid w:val="00C259B6"/>
    <w:pPr>
      <w:spacing w:after="100" w:afterAutospacing="1" w:before="100" w:beforeAutospacing="1" w:line="240" w:lineRule="auto"/>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locked w:val="1"/>
    <w:rsid w:val="001F6230"/>
    <w:pPr>
      <w:spacing w:after="0" w:line="240" w:lineRule="auto"/>
    </w:pPr>
    <w:rPr>
      <w:rFonts w:ascii="Segoe UI" w:cs="Segoe UI" w:hAnsi="Segoe UI"/>
    </w:rPr>
  </w:style>
  <w:style w:type="character" w:styleId="BalloonTextChar" w:customStyle="1">
    <w:name w:val="Balloon Text Char"/>
    <w:basedOn w:val="DefaultParagraphFont"/>
    <w:link w:val="BalloonText"/>
    <w:uiPriority w:val="99"/>
    <w:semiHidden w:val="1"/>
    <w:rsid w:val="001F6230"/>
    <w:rPr>
      <w:rFonts w:ascii="Segoe UI" w:cs="Segoe UI" w:hAnsi="Segoe UI"/>
      <w:sz w:val="18"/>
      <w:szCs w:val="18"/>
    </w:rPr>
  </w:style>
  <w:style w:type="character" w:styleId="Heading4Char" w:customStyle="1">
    <w:name w:val="Heading 4 Char"/>
    <w:basedOn w:val="DefaultParagraphFont"/>
    <w:link w:val="Heading4"/>
    <w:uiPriority w:val="9"/>
    <w:semiHidden w:val="1"/>
    <w:rsid w:val="00B13A07"/>
    <w:rPr>
      <w:rFonts w:asciiTheme="majorHAnsi" w:cstheme="majorBidi" w:eastAsiaTheme="majorEastAsia" w:hAnsiTheme="majorHAnsi"/>
      <w:i w:val="1"/>
      <w:iCs w:val="1"/>
      <w:color w:val="365f91" w:themeColor="accent1" w:themeShade="0000BF"/>
      <w:sz w:val="18"/>
      <w:szCs w:val="18"/>
    </w:rPr>
  </w:style>
  <w:style w:type="character" w:styleId="Hyperlink">
    <w:name w:val="Hyperlink"/>
    <w:basedOn w:val="DefaultParagraphFont"/>
    <w:uiPriority w:val="99"/>
    <w:unhideWhenUsed w:val="1"/>
    <w:locked w:val="1"/>
    <w:rsid w:val="00F73E5D"/>
    <w:rPr>
      <w:color w:val="0000ff"/>
      <w:u w:val="single"/>
    </w:rPr>
  </w:style>
  <w:style w:type="paragraph" w:styleId="Style1" w:customStyle="1">
    <w:name w:val="Style1"/>
    <w:basedOn w:val="Normal"/>
    <w:link w:val="Style1Char"/>
    <w:qFormat w:val="1"/>
    <w:rsid w:val="007B205B"/>
    <w:pPr>
      <w:pBdr>
        <w:top w:color="auto" w:space="10" w:sz="4" w:val="single"/>
      </w:pBdr>
      <w:spacing w:after="0" w:before="120" w:line="240" w:lineRule="auto"/>
    </w:pPr>
    <w:rPr>
      <w:rFonts w:cstheme="majorBidi" w:eastAsiaTheme="majorEastAsia"/>
      <w:bCs w:val="1"/>
      <w:color w:val="c00000"/>
      <w:sz w:val="24"/>
      <w:szCs w:val="20"/>
    </w:rPr>
  </w:style>
  <w:style w:type="character" w:styleId="Style1Char" w:customStyle="1">
    <w:name w:val="Style1 Char"/>
    <w:basedOn w:val="DefaultParagraphFont"/>
    <w:link w:val="Style1"/>
    <w:rsid w:val="007B205B"/>
    <w:rPr>
      <w:rFonts w:ascii="Arial" w:hAnsi="Arial" w:cstheme="majorBidi" w:eastAsiaTheme="majorEastAsia"/>
      <w:bCs w:val="1"/>
      <w:color w:val="c00000"/>
      <w:szCs w:val="20"/>
    </w:rPr>
  </w:style>
  <w:style w:type="paragraph" w:styleId="Covertitle" w:customStyle="1">
    <w:name w:val="Cover title"/>
    <w:basedOn w:val="Normal"/>
    <w:qFormat w:val="1"/>
    <w:rsid w:val="00642089"/>
    <w:pPr>
      <w:spacing w:after="180" w:line="240" w:lineRule="auto"/>
    </w:pPr>
    <w:rPr>
      <w:rFonts w:cs="Times New Roman (Body CS)" w:asciiTheme="minorHAnsi" w:eastAsiaTheme="minorHAnsi" w:hAnsiTheme="minorHAnsi"/>
      <w:b w:val="1"/>
      <w:color w:val="ffffff" w:themeColor="background1"/>
      <w:sz w:val="56"/>
      <w:szCs w:val="24"/>
      <w:lang w:val="en-AU"/>
    </w:rPr>
  </w:style>
  <w:style w:type="character" w:styleId="UnresolvedMention1" w:customStyle="1">
    <w:name w:val="Unresolved Mention1"/>
    <w:basedOn w:val="DefaultParagraphFont"/>
    <w:uiPriority w:val="99"/>
    <w:semiHidden w:val="1"/>
    <w:unhideWhenUsed w:val="1"/>
    <w:rsid w:val="00376AC0"/>
    <w:rPr>
      <w:color w:val="605e5c"/>
      <w:shd w:color="auto" w:fill="e1dfdd" w:val="clear"/>
    </w:rPr>
  </w:style>
  <w:style w:type="paragraph" w:styleId="Header0" w:customStyle="1">
    <w:name w:val="Header_0"/>
    <w:basedOn w:val="Normal0"/>
    <w:link w:val="HeaderChar0"/>
    <w:uiPriority w:val="99"/>
    <w:locked w:val="1"/>
    <w:pPr>
      <w:tabs>
        <w:tab w:val="center" w:pos="4513"/>
        <w:tab w:val="right" w:pos="9026"/>
      </w:tabs>
      <w:spacing w:after="0" w:line="240" w:lineRule="auto"/>
    </w:pPr>
  </w:style>
  <w:style w:type="paragraph" w:styleId="Normal0" w:customStyle="1">
    <w:name w:val="Normal_0"/>
    <w:semiHidden w:val="1"/>
    <w:qFormat w:val="1"/>
    <w:pPr>
      <w:spacing w:after="120" w:line="240" w:lineRule="atLeast"/>
    </w:pPr>
    <w:rPr>
      <w:rFonts w:ascii="Arial" w:cs="Arial" w:hAnsi="Arial"/>
      <w:sz w:val="18"/>
      <w:szCs w:val="18"/>
    </w:rPr>
  </w:style>
  <w:style w:type="character" w:styleId="HeaderChar0" w:customStyle="1">
    <w:name w:val="Header Char_0"/>
    <w:basedOn w:val="DefaultParagraphFont"/>
    <w:link w:val="Header0"/>
    <w:uiPriority w:val="99"/>
    <w:rPr>
      <w:rFonts w:ascii="Arial" w:cs="Arial" w:hAnsi="Arial"/>
      <w:sz w:val="18"/>
      <w:szCs w:val="18"/>
    </w:rPr>
  </w:style>
  <w:style w:type="paragraph" w:styleId="Footer0" w:customStyle="1">
    <w:name w:val="Footer_0"/>
    <w:basedOn w:val="Normal1"/>
    <w:link w:val="FooterChar0"/>
    <w:uiPriority w:val="99"/>
    <w:pPr>
      <w:tabs>
        <w:tab w:val="center" w:pos="4320"/>
        <w:tab w:val="right" w:pos="8640"/>
      </w:tabs>
    </w:pPr>
  </w:style>
  <w:style w:type="paragraph" w:styleId="Normal1" w:customStyle="1">
    <w:name w:val="Normal_1"/>
    <w:semiHidden w:val="1"/>
    <w:qFormat w:val="1"/>
    <w:pPr>
      <w:spacing w:after="120" w:line="240" w:lineRule="atLeast"/>
    </w:pPr>
    <w:rPr>
      <w:rFonts w:ascii="Arial" w:cs="Arial" w:hAnsi="Arial"/>
      <w:sz w:val="18"/>
      <w:szCs w:val="18"/>
    </w:rPr>
  </w:style>
  <w:style w:type="character" w:styleId="FooterChar0" w:customStyle="1">
    <w:name w:val="Footer Char_0"/>
    <w:basedOn w:val="DefaultParagraphFont"/>
    <w:link w:val="Footer0"/>
    <w:uiPriority w:val="99"/>
    <w:rPr>
      <w:rFonts w:ascii="Arial" w:cs="Arial" w:hAnsi="Arial"/>
      <w:sz w:val="18"/>
      <w:szCs w:val="18"/>
    </w:rPr>
  </w:style>
  <w:style w:type="paragraph" w:styleId="Header1" w:customStyle="1">
    <w:name w:val="Header_1"/>
    <w:basedOn w:val="Normal2"/>
    <w:link w:val="HeaderChar1"/>
    <w:uiPriority w:val="99"/>
    <w:locked w:val="1"/>
    <w:pPr>
      <w:tabs>
        <w:tab w:val="center" w:pos="4513"/>
        <w:tab w:val="right" w:pos="9026"/>
      </w:tabs>
      <w:spacing w:after="0" w:line="240" w:lineRule="auto"/>
    </w:pPr>
  </w:style>
  <w:style w:type="paragraph" w:styleId="Normal2" w:customStyle="1">
    <w:name w:val="Normal_2"/>
    <w:semiHidden w:val="1"/>
    <w:qFormat w:val="1"/>
    <w:pPr>
      <w:spacing w:after="120" w:line="240" w:lineRule="atLeast"/>
    </w:pPr>
    <w:rPr>
      <w:rFonts w:ascii="Arial" w:cs="Arial" w:hAnsi="Arial"/>
      <w:sz w:val="18"/>
      <w:szCs w:val="18"/>
    </w:rPr>
  </w:style>
  <w:style w:type="character" w:styleId="HeaderChar1" w:customStyle="1">
    <w:name w:val="Header Char_1"/>
    <w:basedOn w:val="DefaultParagraphFont"/>
    <w:link w:val="Header1"/>
    <w:uiPriority w:val="99"/>
    <w:rPr>
      <w:rFonts w:ascii="Arial" w:cs="Arial" w:hAnsi="Arial"/>
      <w:sz w:val="18"/>
      <w:szCs w:val="18"/>
    </w:rPr>
  </w:style>
  <w:style w:type="paragraph" w:styleId="Header2" w:customStyle="1">
    <w:name w:val="Header_2"/>
    <w:basedOn w:val="Normal3"/>
    <w:link w:val="HeaderChar2"/>
    <w:uiPriority w:val="99"/>
    <w:locked w:val="1"/>
    <w:pPr>
      <w:tabs>
        <w:tab w:val="center" w:pos="4513"/>
        <w:tab w:val="right" w:pos="9026"/>
      </w:tabs>
      <w:spacing w:after="0" w:line="240" w:lineRule="auto"/>
    </w:pPr>
  </w:style>
  <w:style w:type="paragraph" w:styleId="Normal3" w:customStyle="1">
    <w:name w:val="Normal_3"/>
    <w:semiHidden w:val="1"/>
    <w:qFormat w:val="1"/>
    <w:pPr>
      <w:spacing w:after="120" w:line="240" w:lineRule="atLeast"/>
    </w:pPr>
    <w:rPr>
      <w:rFonts w:ascii="Arial" w:cs="Arial" w:hAnsi="Arial"/>
      <w:sz w:val="18"/>
      <w:szCs w:val="18"/>
    </w:rPr>
  </w:style>
  <w:style w:type="character" w:styleId="HeaderChar2" w:customStyle="1">
    <w:name w:val="Header Char_2"/>
    <w:basedOn w:val="DefaultParagraphFont"/>
    <w:link w:val="Header2"/>
    <w:uiPriority w:val="99"/>
    <w:rPr>
      <w:rFonts w:ascii="Arial" w:cs="Arial" w:hAnsi="Arial"/>
      <w:sz w:val="18"/>
      <w:szCs w:val="18"/>
    </w:rPr>
  </w:style>
  <w:style w:type="paragraph" w:styleId="ESHeading10" w:customStyle="1">
    <w:name w:val="ES_Heading 1_0"/>
    <w:basedOn w:val="Title"/>
    <w:qFormat w:val="1"/>
    <w:rsid w:val="00D4348E"/>
    <w:rPr>
      <w:b w:val="0"/>
      <w:bCs w:val="1"/>
      <w:sz w:val="36"/>
      <w:szCs w:val="36"/>
    </w:rPr>
  </w:style>
  <w:style w:type="paragraph" w:styleId="Style10" w:customStyle="1">
    <w:name w:val="Style1_0"/>
    <w:basedOn w:val="H2"/>
    <w:link w:val="Style1Char0"/>
    <w:qFormat w:val="1"/>
    <w:rsid w:val="00B637FF"/>
    <w:pPr>
      <w:pBdr>
        <w:top w:color="auto" w:space="10" w:sz="4" w:val="single"/>
      </w:pBdr>
      <w:spacing w:before="120"/>
    </w:pPr>
    <w:rPr>
      <w:sz w:val="24"/>
    </w:rPr>
  </w:style>
  <w:style w:type="paragraph" w:styleId="H2" w:customStyle="1">
    <w:name w:val="H2"/>
    <w:link w:val="H2Char"/>
    <w:qFormat w:val="1"/>
    <w:rsid w:val="006825C7"/>
    <w:rPr>
      <w:rFonts w:ascii="Arial" w:hAnsi="Arial" w:cstheme="majorBidi" w:eastAsiaTheme="majorEastAsia"/>
      <w:bCs w:val="1"/>
      <w:color w:val="c00000"/>
      <w:sz w:val="28"/>
      <w:szCs w:val="20"/>
    </w:rPr>
  </w:style>
  <w:style w:type="character" w:styleId="H2Char" w:customStyle="1">
    <w:name w:val="H2 Char"/>
    <w:basedOn w:val="DefaultParagraphFont"/>
    <w:link w:val="H2"/>
    <w:rsid w:val="006825C7"/>
    <w:rPr>
      <w:rFonts w:ascii="Arial" w:hAnsi="Arial" w:cstheme="majorBidi" w:eastAsiaTheme="majorEastAsia"/>
      <w:bCs w:val="1"/>
      <w:color w:val="c00000"/>
      <w:sz w:val="28"/>
      <w:szCs w:val="20"/>
    </w:rPr>
  </w:style>
  <w:style w:type="character" w:styleId="Style1Char0" w:customStyle="1">
    <w:name w:val="Style1 Char_0"/>
    <w:basedOn w:val="H2Char"/>
    <w:link w:val="Style10"/>
    <w:rsid w:val="00B637FF"/>
    <w:rPr>
      <w:rFonts w:ascii="Arial" w:hAnsi="Arial" w:cstheme="majorBidi" w:eastAsiaTheme="majorEastAsia"/>
      <w:bCs w:val="1"/>
      <w:color w:val="c00000"/>
      <w:sz w:val="28"/>
      <w:szCs w:val="20"/>
    </w:rPr>
  </w:style>
  <w:style w:type="paragraph" w:styleId="ESBodyText0" w:customStyle="1">
    <w:name w:val="ES_Body Text_0"/>
    <w:basedOn w:val="Normal"/>
    <w:link w:val="ESBodyTextChar"/>
    <w:qFormat w:val="1"/>
  </w:style>
  <w:style w:type="character" w:styleId="ESBodyTextChar" w:customStyle="1">
    <w:name w:val="ES_Body Text Char"/>
    <w:basedOn w:val="DefaultParagraphFont"/>
    <w:link w:val="ESBodyText0"/>
    <w:rsid w:val="00B637FF"/>
    <w:rPr>
      <w:rFonts w:ascii="Arial" w:cs="Arial" w:hAnsi="Arial"/>
      <w:sz w:val="18"/>
      <w:szCs w:val="18"/>
    </w:rPr>
  </w:style>
  <w:style w:type="paragraph" w:styleId="Body2" w:customStyle="1">
    <w:name w:val="Body 2"/>
    <w:basedOn w:val="ESBodyText0"/>
    <w:link w:val="Body2Char"/>
    <w:qFormat w:val="1"/>
    <w:rsid w:val="00B637FF"/>
    <w:pPr>
      <w:spacing w:after="360"/>
    </w:pPr>
  </w:style>
  <w:style w:type="character" w:styleId="Body2Char" w:customStyle="1">
    <w:name w:val="Body 2 Char"/>
    <w:basedOn w:val="ESBodyTextChar"/>
    <w:link w:val="Body2"/>
    <w:rsid w:val="00B637FF"/>
    <w:rPr>
      <w:rFonts w:ascii="Arial" w:cs="Arial" w:hAnsi="Arial"/>
      <w:sz w:val="18"/>
      <w:szCs w:val="18"/>
    </w:rPr>
  </w:style>
  <w:style w:type="paragraph" w:styleId="ESHeading30" w:customStyle="1">
    <w:name w:val="ES_Heading 3_0"/>
    <w:basedOn w:val="Heading3"/>
    <w:qFormat w:val="1"/>
    <w:rsid w:val="00DF78DF"/>
    <w:rPr>
      <w:sz w:val="18"/>
    </w:rPr>
  </w:style>
  <w:style w:type="table" w:styleId="GridTable2-Accent612" w:customStyle="1">
    <w:name w:val="Grid Table 2 - Accent 612"/>
    <w:basedOn w:val="TableNormal"/>
    <w:uiPriority w:val="47"/>
    <w:rPr>
      <w:rFonts w:eastAsia="Arial"/>
      <w:sz w:val="22"/>
      <w:szCs w:val="22"/>
      <w:lang w:val="en-AU"/>
    </w:rPr>
    <w:tblPr>
      <w:tblStyleRowBandSize w:val="1"/>
      <w:tblStyleColBandSize w:val="1"/>
      <w:tblBorders>
        <w:top w:color="ffffff" w:space="0" w:sz="2" w:val="single"/>
        <w:bottom w:color="ffffff" w:space="0" w:sz="2" w:val="single"/>
        <w:insideH w:color="ffffff" w:space="0" w:sz="2" w:val="single"/>
        <w:insideV w:color="ffffff" w:space="0" w:sz="2" w:val="single"/>
      </w:tblBorders>
    </w:tblPr>
    <w:tblStylePr w:type="firstRow">
      <w:rPr>
        <w:b w:val="1"/>
        <w:bCs w:val="1"/>
      </w:rPr>
      <w:tblPr/>
      <w:tcPr>
        <w:tcBorders>
          <w:top w:space="0" w:sz="0" w:val="nil"/>
          <w:bottom w:color="ffffff" w:space="0" w:sz="12" w:val="single"/>
          <w:insideH w:space="0" w:sz="0" w:val="nil"/>
          <w:insideV w:space="0" w:sz="0" w:val="nil"/>
        </w:tcBorders>
        <w:shd w:color="auto" w:fill="af272f" w:val="clear"/>
      </w:tcPr>
    </w:tblStylePr>
    <w:tblStylePr w:type="lastRow">
      <w:rPr>
        <w:b w:val="1"/>
        <w:bCs w:val="1"/>
      </w:rPr>
      <w:tblPr/>
      <w:tcPr>
        <w:tcBorders>
          <w:top w:color="ffffff" w:space="0" w:sz="2" w:val="double"/>
          <w:bottom w:space="0" w:sz="0" w:val="nil"/>
          <w:insideH w:space="0" w:sz="0" w:val="nil"/>
          <w:insideV w:space="0" w:sz="0" w:val="nil"/>
        </w:tcBorders>
        <w:shd w:color="auto" w:fill="af272f" w:val="clear"/>
      </w:tcPr>
    </w:tblStylePr>
    <w:tblStylePr w:type="firstCol">
      <w:rPr>
        <w:b w:val="1"/>
        <w:bCs w:val="1"/>
      </w:rPr>
    </w:tblStylePr>
    <w:tblStylePr w:type="lastCol">
      <w:rPr>
        <w:b w:val="1"/>
        <w:bCs w:val="1"/>
      </w:rPr>
    </w:tblStylePr>
    <w:tblStylePr w:type="band1Vert">
      <w:tblPr/>
      <w:tcPr>
        <w:shd w:color="auto" w:fill="ffffff" w:val="clear"/>
      </w:tcPr>
    </w:tblStylePr>
    <w:tblStylePr w:type="band1Horz">
      <w:tblPr/>
      <w:tcPr>
        <w:shd w:color="auto" w:fill="ffffff" w:val="clear"/>
      </w:tcPr>
    </w:tblStylePr>
  </w:style>
  <w:style w:type="paragraph" w:styleId="Subtitle">
    <w:name w:val="Subtitle"/>
    <w:basedOn w:val="Normal"/>
    <w:next w:val="Normal"/>
    <w:pPr>
      <w:spacing w:after="0" w:lineRule="auto"/>
    </w:pPr>
    <w:rPr>
      <w:color w:val="5a5a59"/>
      <w:sz w:val="27"/>
      <w:szCs w:val="27"/>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142.0" w:type="dxa"/>
        <w:left w:w="284.0" w:type="dxa"/>
        <w:bottom w:w="142.0" w:type="dxa"/>
        <w:right w:w="142.0" w:type="dxa"/>
      </w:tblCellMar>
    </w:tblPr>
  </w:style>
  <w:style w:type="table" w:styleId="Table3">
    <w:basedOn w:val="TableNormal"/>
    <w:rPr>
      <w:sz w:val="22"/>
      <w:szCs w:val="22"/>
    </w:rPr>
    <w:tblPr>
      <w:tblStyleRowBandSize w:val="1"/>
      <w:tblStyleColBandSize w:val="1"/>
      <w:tblCellMar>
        <w:top w:w="115.0" w:type="dxa"/>
        <w:left w:w="115.0" w:type="dxa"/>
        <w:bottom w:w="115.0" w:type="dxa"/>
        <w:right w:w="115.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sz w:val="22"/>
      <w:szCs w:val="22"/>
    </w:rPr>
    <w:tblPr>
      <w:tblStyleRowBandSize w:val="1"/>
      <w:tblStyleColBandSize w:val="1"/>
      <w:tblCellMar>
        <w:top w:w="0.0" w:type="dxa"/>
        <w:left w:w="108.0" w:type="dxa"/>
        <w:bottom w:w="0.0" w:type="dxa"/>
        <w:right w:w="108.0" w:type="dxa"/>
      </w:tblCellMar>
    </w:tblPr>
  </w:style>
  <w:style w:type="table" w:styleId="Table23">
    <w:basedOn w:val="TableNormal"/>
    <w:rPr>
      <w:sz w:val="22"/>
      <w:szCs w:val="22"/>
    </w:rPr>
    <w:tblPr>
      <w:tblStyleRowBandSize w:val="1"/>
      <w:tblStyleColBandSize w:val="1"/>
      <w:tblCellMar>
        <w:top w:w="0.0" w:type="dxa"/>
        <w:left w:w="108.0" w:type="dxa"/>
        <w:bottom w:w="0.0" w:type="dxa"/>
        <w:right w:w="108.0" w:type="dxa"/>
      </w:tblCellMar>
    </w:tblPr>
  </w:style>
  <w:style w:type="table" w:styleId="Table24">
    <w:basedOn w:val="TableNormal"/>
    <w:rPr>
      <w:sz w:val="22"/>
      <w:szCs w:val="22"/>
    </w:rPr>
    <w:tblPr>
      <w:tblStyleRowBandSize w:val="1"/>
      <w:tblStyleColBandSize w:val="1"/>
      <w:tblCellMar>
        <w:top w:w="0.0" w:type="dxa"/>
        <w:left w:w="108.0" w:type="dxa"/>
        <w:bottom w:w="0.0" w:type="dxa"/>
        <w:right w:w="108.0" w:type="dxa"/>
      </w:tblCellMar>
    </w:tblPr>
    <w:tblStylePr w:type="band1Horz">
      <w:tcPr>
        <w:shd w:fill="ffffff" w:val="clear"/>
      </w:tcPr>
    </w:tblStylePr>
    <w:tblStylePr w:type="band1Vert">
      <w:tcPr>
        <w:shd w:fill="ffffff" w:val="clear"/>
      </w:tcPr>
    </w:tblStylePr>
    <w:tblStylePr w:type="firstCol">
      <w:rPr>
        <w:b w:val="1"/>
      </w:rPr>
    </w:tblStylePr>
    <w:tblStylePr w:type="firstRow">
      <w:rPr>
        <w:b w:val="1"/>
      </w:rPr>
      <w:tcPr>
        <w:tcBorders>
          <w:top w:color="000000" w:space="0" w:sz="0" w:val="nil"/>
          <w:bottom w:color="ffffff" w:space="0" w:sz="12" w:val="single"/>
          <w:insideH w:color="000000" w:space="0" w:sz="0" w:val="nil"/>
          <w:insideV w:color="000000" w:space="0" w:sz="0" w:val="nil"/>
        </w:tcBorders>
        <w:shd w:fill="af272f" w:val="clear"/>
      </w:tcPr>
    </w:tblStylePr>
    <w:tblStylePr w:type="lastCol">
      <w:rPr>
        <w:b w:val="1"/>
      </w:rPr>
    </w:tblStylePr>
    <w:tblStylePr w:type="lastRow">
      <w:rPr>
        <w:b w:val="1"/>
      </w:rPr>
      <w:tcPr>
        <w:tcBorders>
          <w:top w:color="ffffff" w:space="0" w:sz="4" w:val="single"/>
          <w:bottom w:color="000000" w:space="0" w:sz="0" w:val="nil"/>
          <w:insideH w:color="000000" w:space="0" w:sz="0" w:val="nil"/>
          <w:insideV w:color="000000" w:space="0" w:sz="0" w:val="nil"/>
        </w:tcBorders>
        <w:shd w:fill="af272f" w:val="clear"/>
      </w:tcPr>
    </w:tblStylePr>
  </w:style>
  <w:style w:type="table" w:styleId="Table25">
    <w:basedOn w:val="TableNormal"/>
    <w:rPr>
      <w:sz w:val="22"/>
      <w:szCs w:val="22"/>
    </w:rPr>
    <w:tblPr>
      <w:tblStyleRowBandSize w:val="1"/>
      <w:tblStyleColBandSize w:val="1"/>
      <w:tblCellMar>
        <w:top w:w="0.0" w:type="dxa"/>
        <w:left w:w="108.0" w:type="dxa"/>
        <w:bottom w:w="0.0" w:type="dxa"/>
        <w:right w:w="108.0" w:type="dxa"/>
      </w:tblCellMar>
    </w:tblPr>
    <w:tblStylePr w:type="band1Horz">
      <w:tcPr>
        <w:shd w:fill="ffffff" w:val="clear"/>
      </w:tcPr>
    </w:tblStylePr>
    <w:tblStylePr w:type="band1Vert">
      <w:tcPr>
        <w:shd w:fill="ffffff" w:val="clear"/>
      </w:tcPr>
    </w:tblStylePr>
    <w:tblStylePr w:type="firstCol">
      <w:rPr>
        <w:b w:val="1"/>
      </w:rPr>
    </w:tblStylePr>
    <w:tblStylePr w:type="firstRow">
      <w:rPr>
        <w:b w:val="1"/>
      </w:rPr>
      <w:tcPr>
        <w:tcBorders>
          <w:top w:color="000000" w:space="0" w:sz="0" w:val="nil"/>
          <w:bottom w:color="ffffff" w:space="0" w:sz="12" w:val="single"/>
          <w:insideH w:color="000000" w:space="0" w:sz="0" w:val="nil"/>
          <w:insideV w:color="000000" w:space="0" w:sz="0" w:val="nil"/>
        </w:tcBorders>
        <w:shd w:fill="af272f" w:val="clear"/>
      </w:tcPr>
    </w:tblStylePr>
    <w:tblStylePr w:type="lastCol">
      <w:rPr>
        <w:b w:val="1"/>
      </w:rPr>
    </w:tblStylePr>
    <w:tblStylePr w:type="lastRow">
      <w:rPr>
        <w:b w:val="1"/>
      </w:rPr>
      <w:tcPr>
        <w:tcBorders>
          <w:top w:color="ffffff" w:space="0" w:sz="4" w:val="single"/>
          <w:bottom w:color="000000" w:space="0" w:sz="0" w:val="nil"/>
          <w:insideH w:color="000000" w:space="0" w:sz="0" w:val="nil"/>
          <w:insideV w:color="000000" w:space="0" w:sz="0" w:val="nil"/>
        </w:tcBorders>
        <w:shd w:fill="af272f" w:val="clear"/>
      </w:tcPr>
    </w:tblStylePr>
  </w:style>
  <w:style w:type="table" w:styleId="Table26">
    <w:basedOn w:val="TableNormal"/>
    <w:rPr>
      <w:sz w:val="22"/>
      <w:szCs w:val="22"/>
    </w:rPr>
    <w:tblPr>
      <w:tblStyleRowBandSize w:val="1"/>
      <w:tblStyleColBandSize w:val="1"/>
      <w:tblCellMar>
        <w:top w:w="0.0" w:type="dxa"/>
        <w:left w:w="108.0" w:type="dxa"/>
        <w:bottom w:w="0.0" w:type="dxa"/>
        <w:right w:w="108.0" w:type="dxa"/>
      </w:tblCellMar>
    </w:tblPr>
    <w:tblStylePr w:type="band1Horz">
      <w:tcPr>
        <w:shd w:fill="ffffff" w:val="clear"/>
      </w:tcPr>
    </w:tblStylePr>
    <w:tblStylePr w:type="band1Vert">
      <w:tcPr>
        <w:shd w:fill="ffffff" w:val="clear"/>
      </w:tcPr>
    </w:tblStylePr>
    <w:tblStylePr w:type="firstCol">
      <w:rPr>
        <w:b w:val="1"/>
      </w:rPr>
    </w:tblStylePr>
    <w:tblStylePr w:type="firstRow">
      <w:rPr>
        <w:b w:val="1"/>
      </w:rPr>
      <w:tcPr>
        <w:tcBorders>
          <w:top w:color="000000" w:space="0" w:sz="0" w:val="nil"/>
          <w:bottom w:color="ffffff" w:space="0" w:sz="12" w:val="single"/>
          <w:insideH w:color="000000" w:space="0" w:sz="0" w:val="nil"/>
          <w:insideV w:color="000000" w:space="0" w:sz="0" w:val="nil"/>
        </w:tcBorders>
        <w:shd w:fill="af272f" w:val="clear"/>
      </w:tcPr>
    </w:tblStylePr>
    <w:tblStylePr w:type="lastCol">
      <w:rPr>
        <w:b w:val="1"/>
      </w:rPr>
    </w:tblStylePr>
    <w:tblStylePr w:type="lastRow">
      <w:rPr>
        <w:b w:val="1"/>
      </w:rPr>
      <w:tcPr>
        <w:tcBorders>
          <w:top w:color="ffffff" w:space="0" w:sz="4" w:val="single"/>
          <w:bottom w:color="000000" w:space="0" w:sz="0" w:val="nil"/>
          <w:insideH w:color="000000" w:space="0" w:sz="0" w:val="nil"/>
          <w:insideV w:color="000000" w:space="0" w:sz="0" w:val="nil"/>
        </w:tcBorders>
        <w:shd w:fill="af272f" w:val="clear"/>
      </w:tcPr>
    </w:tblStylePr>
  </w:style>
  <w:style w:type="table" w:styleId="Table27">
    <w:basedOn w:val="TableNormal"/>
    <w:rPr>
      <w:sz w:val="22"/>
      <w:szCs w:val="22"/>
    </w:rPr>
    <w:tblPr>
      <w:tblStyleRowBandSize w:val="1"/>
      <w:tblStyleColBandSize w:val="1"/>
      <w:tblCellMar>
        <w:top w:w="0.0" w:type="dxa"/>
        <w:left w:w="108.0" w:type="dxa"/>
        <w:bottom w:w="0.0" w:type="dxa"/>
        <w:right w:w="108.0" w:type="dxa"/>
      </w:tblCellMar>
    </w:tblPr>
    <w:tblStylePr w:type="band1Horz">
      <w:tcPr>
        <w:shd w:fill="ffffff" w:val="clear"/>
      </w:tcPr>
    </w:tblStylePr>
    <w:tblStylePr w:type="band1Vert">
      <w:tcPr>
        <w:shd w:fill="ffffff" w:val="clear"/>
      </w:tcPr>
    </w:tblStylePr>
    <w:tblStylePr w:type="firstCol">
      <w:rPr>
        <w:b w:val="1"/>
      </w:rPr>
    </w:tblStylePr>
    <w:tblStylePr w:type="firstRow">
      <w:rPr>
        <w:b w:val="1"/>
      </w:rPr>
      <w:tcPr>
        <w:tcBorders>
          <w:top w:color="000000" w:space="0" w:sz="0" w:val="nil"/>
          <w:bottom w:color="ffffff" w:space="0" w:sz="12" w:val="single"/>
          <w:insideH w:color="000000" w:space="0" w:sz="0" w:val="nil"/>
          <w:insideV w:color="000000" w:space="0" w:sz="0" w:val="nil"/>
        </w:tcBorders>
        <w:shd w:fill="af272f" w:val="clear"/>
      </w:tcPr>
    </w:tblStylePr>
    <w:tblStylePr w:type="lastCol">
      <w:rPr>
        <w:b w:val="1"/>
      </w:rPr>
    </w:tblStylePr>
    <w:tblStylePr w:type="lastRow">
      <w:rPr>
        <w:b w:val="1"/>
      </w:rPr>
      <w:tcPr>
        <w:tcBorders>
          <w:top w:color="ffffff" w:space="0" w:sz="4" w:val="single"/>
          <w:bottom w:color="000000" w:space="0" w:sz="0" w:val="nil"/>
          <w:insideH w:color="000000" w:space="0" w:sz="0" w:val="nil"/>
          <w:insideV w:color="000000" w:space="0" w:sz="0" w:val="nil"/>
        </w:tcBorders>
        <w:shd w:fill="af272f" w:val="clear"/>
      </w:tcPr>
    </w:tblStylePr>
  </w:style>
  <w:style w:type="table" w:styleId="Table28">
    <w:basedOn w:val="TableNormal"/>
    <w:rPr>
      <w:sz w:val="22"/>
      <w:szCs w:val="22"/>
    </w:rPr>
    <w:tblPr>
      <w:tblStyleRowBandSize w:val="1"/>
      <w:tblStyleColBandSize w:val="1"/>
      <w:tblCellMar>
        <w:top w:w="0.0" w:type="dxa"/>
        <w:left w:w="108.0" w:type="dxa"/>
        <w:bottom w:w="0.0" w:type="dxa"/>
        <w:right w:w="108.0" w:type="dxa"/>
      </w:tblCellMar>
    </w:tblPr>
    <w:tblStylePr w:type="band1Horz">
      <w:tcPr>
        <w:shd w:fill="ffffff" w:val="clear"/>
      </w:tcPr>
    </w:tblStylePr>
    <w:tblStylePr w:type="band1Vert">
      <w:tcPr>
        <w:shd w:fill="ffffff" w:val="clear"/>
      </w:tcPr>
    </w:tblStylePr>
    <w:tblStylePr w:type="firstCol">
      <w:rPr>
        <w:b w:val="1"/>
      </w:rPr>
    </w:tblStylePr>
    <w:tblStylePr w:type="firstRow">
      <w:rPr>
        <w:b w:val="1"/>
      </w:rPr>
      <w:tcPr>
        <w:tcBorders>
          <w:top w:color="000000" w:space="0" w:sz="0" w:val="nil"/>
          <w:bottom w:color="ffffff" w:space="0" w:sz="12" w:val="single"/>
          <w:insideH w:color="000000" w:space="0" w:sz="0" w:val="nil"/>
          <w:insideV w:color="000000" w:space="0" w:sz="0" w:val="nil"/>
        </w:tcBorders>
        <w:shd w:fill="af272f" w:val="clear"/>
      </w:tcPr>
    </w:tblStylePr>
    <w:tblStylePr w:type="lastCol">
      <w:rPr>
        <w:b w:val="1"/>
      </w:rPr>
    </w:tblStylePr>
    <w:tblStylePr w:type="lastRow">
      <w:rPr>
        <w:b w:val="1"/>
      </w:rPr>
      <w:tcPr>
        <w:tcBorders>
          <w:top w:color="ffffff" w:space="0" w:sz="4" w:val="single"/>
          <w:bottom w:color="000000" w:space="0" w:sz="0" w:val="nil"/>
          <w:insideH w:color="000000" w:space="0" w:sz="0" w:val="nil"/>
          <w:insideV w:color="000000" w:space="0" w:sz="0" w:val="nil"/>
        </w:tcBorders>
        <w:shd w:fill="af272f" w:val="clear"/>
      </w:tcPr>
    </w:tblStylePr>
  </w:style>
</w:styles>
</file>

<file path=word/_rels/document.xml.rels><?xml version="1.0" encoding="UTF-8" standalone="yes"?><Relationships xmlns="http://schemas.openxmlformats.org/package/2006/relationships"><Relationship Id="rId40" Type="http://schemas.openxmlformats.org/officeDocument/2006/relationships/chart" Target="charts/chart15.xml"/><Relationship Id="rId20" Type="http://schemas.openxmlformats.org/officeDocument/2006/relationships/hyperlink" Target="https://ngsc.vic.edu.au/" TargetMode="External"/><Relationship Id="rId42" Type="http://schemas.openxmlformats.org/officeDocument/2006/relationships/chart" Target="charts/chart14.xml"/><Relationship Id="rId41" Type="http://schemas.openxmlformats.org/officeDocument/2006/relationships/chart" Target="charts/chart11.xml"/><Relationship Id="rId22" Type="http://schemas.openxmlformats.org/officeDocument/2006/relationships/header" Target="header8.xml"/><Relationship Id="rId44" Type="http://schemas.openxmlformats.org/officeDocument/2006/relationships/header" Target="header5.xml"/><Relationship Id="rId21" Type="http://schemas.openxmlformats.org/officeDocument/2006/relationships/header" Target="header9.xml"/><Relationship Id="rId43" Type="http://schemas.openxmlformats.org/officeDocument/2006/relationships/header" Target="header3.xml"/><Relationship Id="rId24" Type="http://schemas.openxmlformats.org/officeDocument/2006/relationships/chart" Target="charts/chart5.xml"/><Relationship Id="rId23" Type="http://schemas.openxmlformats.org/officeDocument/2006/relationships/footer" Target="footer3.xml"/><Relationship Id="rId45"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vic.gov.au/in-force/acts/education-and-training-reform-act-2006" TargetMode="External"/><Relationship Id="rId26" Type="http://schemas.openxmlformats.org/officeDocument/2006/relationships/chart" Target="charts/chart18.xml"/><Relationship Id="rId25" Type="http://schemas.openxmlformats.org/officeDocument/2006/relationships/chart" Target="charts/chart13.xml"/><Relationship Id="rId28" Type="http://schemas.openxmlformats.org/officeDocument/2006/relationships/chart" Target="charts/chart4.xml"/><Relationship Id="rId27" Type="http://schemas.openxmlformats.org/officeDocument/2006/relationships/chart" Target="charts/chart8.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chart" Target="charts/chart1.xml"/><Relationship Id="rId7" Type="http://schemas.openxmlformats.org/officeDocument/2006/relationships/image" Target="media/image2.png"/><Relationship Id="rId8" Type="http://schemas.openxmlformats.org/officeDocument/2006/relationships/hyperlink" Target="http://www.vit.vic.edu.au/" TargetMode="External"/><Relationship Id="rId31" Type="http://schemas.openxmlformats.org/officeDocument/2006/relationships/chart" Target="charts/chart9.xml"/><Relationship Id="rId30" Type="http://schemas.openxmlformats.org/officeDocument/2006/relationships/chart" Target="charts/chart16.xml"/><Relationship Id="rId11" Type="http://schemas.openxmlformats.org/officeDocument/2006/relationships/header" Target="header1.xml"/><Relationship Id="rId33" Type="http://schemas.openxmlformats.org/officeDocument/2006/relationships/chart" Target="charts/chart17.xml"/><Relationship Id="rId10" Type="http://schemas.openxmlformats.org/officeDocument/2006/relationships/hyperlink" Target="https://www.education.vic.gov.au/Documents/about/programs/health/protect/Ministerial_Order.pdf" TargetMode="External"/><Relationship Id="rId32" Type="http://schemas.openxmlformats.org/officeDocument/2006/relationships/chart" Target="charts/chart12.xml"/><Relationship Id="rId13" Type="http://schemas.openxmlformats.org/officeDocument/2006/relationships/header" Target="header2.xml"/><Relationship Id="rId35" Type="http://schemas.openxmlformats.org/officeDocument/2006/relationships/chart" Target="charts/chart2.xml"/><Relationship Id="rId12" Type="http://schemas.openxmlformats.org/officeDocument/2006/relationships/header" Target="header4.xml"/><Relationship Id="rId34" Type="http://schemas.openxmlformats.org/officeDocument/2006/relationships/chart" Target="charts/chart6.xml"/><Relationship Id="rId15" Type="http://schemas.openxmlformats.org/officeDocument/2006/relationships/footer" Target="footer1.xml"/><Relationship Id="rId37" Type="http://schemas.openxmlformats.org/officeDocument/2006/relationships/image" Target="media/image4.png"/><Relationship Id="rId14" Type="http://schemas.openxmlformats.org/officeDocument/2006/relationships/footer" Target="footer2.xml"/><Relationship Id="rId36" Type="http://schemas.openxmlformats.org/officeDocument/2006/relationships/chart" Target="charts/chart3.xml"/><Relationship Id="rId17" Type="http://schemas.openxmlformats.org/officeDocument/2006/relationships/header" Target="header6.xml"/><Relationship Id="rId39" Type="http://schemas.openxmlformats.org/officeDocument/2006/relationships/chart" Target="charts/chart7.xml"/><Relationship Id="rId16" Type="http://schemas.openxmlformats.org/officeDocument/2006/relationships/hyperlink" Target="https://nap.edu.au/naplan/results-and-reports" TargetMode="External"/><Relationship Id="rId38" Type="http://schemas.openxmlformats.org/officeDocument/2006/relationships/chart" Target="charts/chart10.xml"/><Relationship Id="rId19" Type="http://schemas.openxmlformats.org/officeDocument/2006/relationships/footer" Target="footer4.xml"/><Relationship Id="rId18" Type="http://schemas.openxmlformats.org/officeDocument/2006/relationships/header" Target="header7.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4.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08285878\Desktop\AR%202020\mockups\chartSource_prisec.xlsx" TargetMode="Externa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 Id="rId2" Type="http://schemas.openxmlformats.org/officeDocument/2006/relationships/oleObject" Target="file:///C:\Users\08285878\Desktop\prisec_chartSource.xlsx" TargetMode="Externa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 Id="rId2" Type="http://schemas.openxmlformats.org/officeDocument/2006/relationships/oleObject" Target="file:///C:\Users\08285878\Desktop\prisec_chartSource.xlsx" TargetMode="External"/></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2.xml"/><Relationship Id="rId2" Type="http://schemas.openxmlformats.org/officeDocument/2006/relationships/oleObject" Target="file:///C:\Users\08285878\Desktop\AR%202020\mockups\chartSource_prisec.xlsx" TargetMode="Externa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 Id="rId2" Type="http://schemas.openxmlformats.org/officeDocument/2006/relationships/oleObject" Target="file:///C:\Users\08285878\Desktop\prisec_chartSource.xlsx" TargetMode="External"/></Relationships>
</file>

<file path=word/charts/_rels/chart14.xml.rels><?xml version="1.0" encoding="UTF-8" standalone="yes"?><Relationships xmlns="http://schemas.openxmlformats.org/package/2006/relationships"><Relationship Id="rId1" Type="http://schemas.openxmlformats.org/officeDocument/2006/relationships/themeOverride" Target="../theme/themeOverride14.xml"/><Relationship Id="rId2" Type="http://schemas.openxmlformats.org/officeDocument/2006/relationships/oleObject" Target="file:///C:\Users\08285878\Desktop\prisec_chartSource.xlsx" TargetMode="External"/></Relationships>
</file>

<file path=word/charts/_rels/chart15.xml.rels><?xml version="1.0" encoding="UTF-8" standalone="yes"?><Relationships xmlns="http://schemas.openxmlformats.org/package/2006/relationships"><Relationship Id="rId1" Type="http://schemas.openxmlformats.org/officeDocument/2006/relationships/themeOverride" Target="../theme/themeOverride15.xml"/><Relationship Id="rId2" Type="http://schemas.openxmlformats.org/officeDocument/2006/relationships/oleObject" Target="file:///C:\Users\08285878\Desktop\prisec_chartSource.xlsx" TargetMode="External"/></Relationships>
</file>

<file path=word/charts/_rels/chart16.xml.rels><?xml version="1.0" encoding="UTF-8" standalone="yes"?><Relationships xmlns="http://schemas.openxmlformats.org/package/2006/relationships"><Relationship Id="rId1" Type="http://schemas.openxmlformats.org/officeDocument/2006/relationships/themeOverride" Target="../theme/themeOverride16.xml"/><Relationship Id="rId2" Type="http://schemas.openxmlformats.org/officeDocument/2006/relationships/oleObject" Target="file:///C:\Users\08285878\Desktop\AR%202020\mockups\chartSource_prisec.xlsx" TargetMode="External"/></Relationships>
</file>

<file path=word/charts/_rels/chart17.xml.rels><?xml version="1.0" encoding="UTF-8" standalone="yes"?><Relationships xmlns="http://schemas.openxmlformats.org/package/2006/relationships"><Relationship Id="rId1" Type="http://schemas.openxmlformats.org/officeDocument/2006/relationships/themeOverride" Target="../theme/themeOverride17.xml"/><Relationship Id="rId2" Type="http://schemas.openxmlformats.org/officeDocument/2006/relationships/oleObject" Target="file:///C:\Users\08285878\Desktop\AR%202020\mockups\chartSource_prisec.xlsx" TargetMode="External"/></Relationships>
</file>

<file path=word/charts/_rels/chart18.xml.rels><?xml version="1.0" encoding="UTF-8" standalone="yes"?><Relationships xmlns="http://schemas.openxmlformats.org/package/2006/relationships"><Relationship Id="rId1" Type="http://schemas.openxmlformats.org/officeDocument/2006/relationships/themeOverride" Target="../theme/themeOverride18.xml"/><Relationship Id="rId2" Type="http://schemas.openxmlformats.org/officeDocument/2006/relationships/oleObject" Target="file:///C:\Users\08285878\Desktop\prisec_chartSource.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08285878\Desktop\AR%202020\mockups\chartSource_prisec.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09516320\Desktop\School%20Annual%20Report\Chart.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C:\Users\08285878\Desktop\AR%202020\mockups\chartSource_prisec.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C:\Users\08285878\Desktop\prisec_chartSource.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C:\Users\08285878\Desktop\AR%202020\mockups\chartSource_prisec.xlsx" TargetMode="Externa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oleObject" Target="file:///C:\Users\08285878\Desktop\prisec_chartSource.xlsx" TargetMode="Externa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oleObject" Target="file:///C:\Users\08285878\Desktop\prisec_chartSource.xlsx" TargetMode="External"/></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9.xml"/><Relationship Id="rId2" Type="http://schemas.openxmlformats.org/officeDocument/2006/relationships/oleObject" Target="file:///C:\Users\08285878\Desktop\AR%202020\mockups\chartSource_prise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994-4605-9641-CD6D94EA0F46}"/>
              </c:ext>
            </c:extLst>
          </c:dPt>
          <c:dPt>
            <c:idx val="1"/>
            <c:invertIfNegative val="0"/>
            <c:bubble3D val="0"/>
            <c:spPr>
              <a:solidFill>
                <a:srgbClr val="7030A0"/>
              </a:solidFill>
              <a:ln>
                <a:noFill/>
              </a:ln>
            </c:spPr>
            <c:extLst>
              <c:ext xmlns:c16="http://schemas.microsoft.com/office/drawing/2014/chart" uri="{C3380CC4-5D6E-409C-BE32-E72D297353CC}">
                <c16:uniqueId val="{00000003-A994-4605-9641-CD6D94EA0F4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994-4605-9641-CD6D94EA0F4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0.34399999999999997</c:v>
                </c:pt>
                <c:pt idx="1">
                  <c:v>0.47899999999999998</c:v>
                </c:pt>
                <c:pt idx="2">
                  <c:v>0.6</c:v>
                </c:pt>
              </c:numCache>
            </c:numRef>
          </c:val>
          <c:extLst>
            <c:ext xmlns:c16="http://schemas.microsoft.com/office/drawing/2014/chart" uri="{C3380CC4-5D6E-409C-BE32-E72D297353CC}">
              <c16:uniqueId val="{00000006-A994-4605-9641-CD6D94EA0F4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5420054200542003"/>
          <c:y val="4.060913705583756E-2"/>
        </c:manualLayout>
      </c:layout>
      <c:overlay val="0"/>
      <c:spPr>
        <a:noFill/>
        <a:ln>
          <a:noFill/>
        </a:ln>
      </c:spPr>
    </c:title>
    <c:autoTitleDeleted val="0"/>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325-4D92-87E6-987D222E9385}"/>
              </c:ext>
            </c:extLst>
          </c:dPt>
          <c:dPt>
            <c:idx val="1"/>
            <c:invertIfNegative val="0"/>
            <c:bubble3D val="0"/>
            <c:spPr>
              <a:solidFill>
                <a:srgbClr val="7030A0"/>
              </a:solidFill>
              <a:ln>
                <a:noFill/>
              </a:ln>
            </c:spPr>
            <c:extLst>
              <c:ext xmlns:c16="http://schemas.microsoft.com/office/drawing/2014/chart" uri="{C3380CC4-5D6E-409C-BE32-E72D297353CC}">
                <c16:uniqueId val="{00000003-D325-4D92-87E6-987D222E938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325-4D92-87E6-987D222E938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0.49903999999999998</c:v>
                </c:pt>
                <c:pt idx="1">
                  <c:v>0.46150799999999997</c:v>
                </c:pt>
                <c:pt idx="2">
                  <c:v>0.45303599999999999</c:v>
                </c:pt>
              </c:numCache>
            </c:numRef>
          </c:val>
          <c:extLst>
            <c:ext xmlns:c16="http://schemas.microsoft.com/office/drawing/2014/chart" uri="{C3380CC4-5D6E-409C-BE32-E72D297353CC}">
              <c16:uniqueId val="{00000006-D325-4D92-87E6-987D222E938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 7 to Year 10</a:t>
            </a:r>
          </a:p>
        </c:rich>
      </c:tx>
      <c:overlay val="0"/>
      <c:spPr>
        <a:noFill/>
        <a:ln>
          <a:noFill/>
        </a:ln>
      </c:spPr>
    </c:title>
    <c:autoTitleDeleted val="0"/>
    <c:plotArea>
      <c:layout>
        <c:manualLayout>
          <c:layoutTarget val="inner"/>
          <c:xMode val="edge"/>
          <c:yMode val="edge"/>
          <c:x val="0.1831840551181102"/>
          <c:y val="0.20196692913385828"/>
          <c:w val="0.74001319353797357"/>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2A1-4B4B-A1A5-E91492C5F8A7}"/>
              </c:ext>
            </c:extLst>
          </c:dPt>
          <c:dPt>
            <c:idx val="1"/>
            <c:invertIfNegative val="0"/>
            <c:bubble3D val="0"/>
            <c:spPr>
              <a:solidFill>
                <a:srgbClr val="7030A0"/>
              </a:solidFill>
              <a:ln>
                <a:noFill/>
              </a:ln>
            </c:spPr>
            <c:extLst>
              <c:ext xmlns:c16="http://schemas.microsoft.com/office/drawing/2014/chart" uri="{C3380CC4-5D6E-409C-BE32-E72D297353CC}">
                <c16:uniqueId val="{00000003-C2A1-4B4B-A1A5-E91492C5F8A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2A1-4B4B-A1A5-E91492C5F8A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0.71399999999999997</c:v>
                </c:pt>
                <c:pt idx="1">
                  <c:v>0.73399999999999999</c:v>
                </c:pt>
                <c:pt idx="2">
                  <c:v>0.72599999999999998</c:v>
                </c:pt>
              </c:numCache>
            </c:numRef>
          </c:val>
          <c:extLst>
            <c:ext xmlns:c16="http://schemas.microsoft.com/office/drawing/2014/chart" uri="{C3380CC4-5D6E-409C-BE32-E72D297353CC}">
              <c16:uniqueId val="{00000006-C2A1-4B4B-A1A5-E91492C5F8A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layout>
            <c:manualLayout>
              <c:xMode val="edge"/>
              <c:yMode val="edge"/>
              <c:x val="0.31955422684463913"/>
              <c:y val="0.893253797820727"/>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21F-45A3-8E2B-5A0A66DF829A}"/>
              </c:ext>
            </c:extLst>
          </c:dPt>
          <c:dPt>
            <c:idx val="1"/>
            <c:invertIfNegative val="0"/>
            <c:bubble3D val="0"/>
            <c:spPr>
              <a:solidFill>
                <a:srgbClr val="7030A0"/>
              </a:solidFill>
              <a:ln>
                <a:noFill/>
              </a:ln>
            </c:spPr>
            <c:extLst>
              <c:ext xmlns:c16="http://schemas.microsoft.com/office/drawing/2014/chart" uri="{C3380CC4-5D6E-409C-BE32-E72D297353CC}">
                <c16:uniqueId val="{00000003-721F-45A3-8E2B-5A0A66DF829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21F-45A3-8E2B-5A0A66DF829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0.44800000000000001</c:v>
                </c:pt>
                <c:pt idx="1">
                  <c:v>0.439</c:v>
                </c:pt>
                <c:pt idx="2">
                  <c:v>0.54600000000000004</c:v>
                </c:pt>
              </c:numCache>
            </c:numRef>
          </c:val>
          <c:extLst>
            <c:ext xmlns:c16="http://schemas.microsoft.com/office/drawing/2014/chart" uri="{C3380CC4-5D6E-409C-BE32-E72D297353CC}">
              <c16:uniqueId val="{00000006-721F-45A3-8E2B-5A0A66DF829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97-48B6-8338-741366B9AA7D}"/>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EC97-48B6-8338-741366B9AA7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0.64900000000000002</c:v>
                </c:pt>
                <c:pt idx="1">
                  <c:v>0.57199999999999995</c:v>
                </c:pt>
              </c:numCache>
            </c:numRef>
          </c:val>
          <c:extLst>
            <c:ext xmlns:c16="http://schemas.microsoft.com/office/drawing/2014/chart" uri="{C3380CC4-5D6E-409C-BE32-E72D297353CC}">
              <c16:uniqueId val="{00000004-EC97-48B6-8338-741366B9AA7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10 to 12</a:t>
            </a:r>
          </a:p>
        </c:rich>
      </c:tx>
      <c:overlay val="0"/>
      <c:spPr>
        <a:noFill/>
        <a:ln>
          <a:noFill/>
        </a:ln>
      </c:spPr>
    </c:title>
    <c:autoTitleDeleted val="0"/>
    <c:plotArea>
      <c:layout>
        <c:manualLayout>
          <c:layoutTarget val="inner"/>
          <c:xMode val="edge"/>
          <c:yMode val="edge"/>
          <c:x val="0.1831840551181102"/>
          <c:y val="0.20863359580052493"/>
          <c:w val="0.75070833333333331"/>
          <c:h val="0.5509009888776957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554-4F81-AC38-EDA44D53952A}"/>
              </c:ext>
            </c:extLst>
          </c:dPt>
          <c:dPt>
            <c:idx val="1"/>
            <c:invertIfNegative val="0"/>
            <c:bubble3D val="0"/>
            <c:spPr>
              <a:solidFill>
                <a:srgbClr val="7030A0"/>
              </a:solidFill>
              <a:ln>
                <a:noFill/>
              </a:ln>
            </c:spPr>
            <c:extLst>
              <c:ext xmlns:c16="http://schemas.microsoft.com/office/drawing/2014/chart" uri="{C3380CC4-5D6E-409C-BE32-E72D297353CC}">
                <c16:uniqueId val="{00000003-6554-4F81-AC38-EDA44D53952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554-4F81-AC38-EDA44D53952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1</c:v>
                </c:pt>
                <c:pt idx="1">
                  <c:v>0.89200000000000002</c:v>
                </c:pt>
                <c:pt idx="2">
                  <c:v>0.89500000000000002</c:v>
                </c:pt>
              </c:numCache>
            </c:numRef>
          </c:val>
          <c:extLst>
            <c:ext xmlns:c16="http://schemas.microsoft.com/office/drawing/2014/chart" uri="{C3380CC4-5D6E-409C-BE32-E72D297353CC}">
              <c16:uniqueId val="{00000006-6554-4F81-AC38-EDA44D53952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layout>
            <c:manualLayout>
              <c:xMode val="edge"/>
              <c:yMode val="edge"/>
              <c:x val="0.18459218273391506"/>
              <c:y val="0.8899524064061182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overlay val="0"/>
      <c:spPr>
        <a:noFill/>
        <a:ln>
          <a:noFill/>
        </a:ln>
      </c:spPr>
    </c:title>
    <c:autoTitleDeleted val="0"/>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91C-484C-A0D5-F31189D1FBA7}"/>
              </c:ext>
            </c:extLst>
          </c:dPt>
          <c:dPt>
            <c:idx val="1"/>
            <c:invertIfNegative val="0"/>
            <c:bubble3D val="0"/>
            <c:spPr>
              <a:solidFill>
                <a:srgbClr val="7030A0"/>
              </a:solidFill>
              <a:ln>
                <a:noFill/>
              </a:ln>
            </c:spPr>
            <c:extLst>
              <c:ext xmlns:c16="http://schemas.microsoft.com/office/drawing/2014/chart" uri="{C3380CC4-5D6E-409C-BE32-E72D297353CC}">
                <c16:uniqueId val="{00000003-F91C-484C-A0D5-F31189D1FBA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91C-484C-A0D5-F31189D1FBA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19.300395000000002</c:v>
                </c:pt>
                <c:pt idx="1">
                  <c:v>28.673950999999999</c:v>
                </c:pt>
                <c:pt idx="2">
                  <c:v>28.364858999999999</c:v>
                </c:pt>
              </c:numCache>
            </c:numRef>
          </c:val>
          <c:extLst>
            <c:ext xmlns:c16="http://schemas.microsoft.com/office/drawing/2014/chart" uri="{C3380CC4-5D6E-409C-BE32-E72D297353CC}">
              <c16:uniqueId val="{00000006-F91C-484C-A0D5-F31189D1FBA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27F-439C-B729-0F36A72C6FBA}"/>
              </c:ext>
            </c:extLst>
          </c:dPt>
          <c:dPt>
            <c:idx val="1"/>
            <c:invertIfNegative val="0"/>
            <c:bubble3D val="0"/>
            <c:spPr>
              <a:solidFill>
                <a:srgbClr val="7030A0"/>
              </a:solidFill>
              <a:ln>
                <a:noFill/>
              </a:ln>
            </c:spPr>
            <c:extLst>
              <c:ext xmlns:c16="http://schemas.microsoft.com/office/drawing/2014/chart" uri="{C3380CC4-5D6E-409C-BE32-E72D297353CC}">
                <c16:uniqueId val="{00000003-827F-439C-B729-0F36A72C6FB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27F-439C-B729-0F36A72C6FB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0.55800000000000005</c:v>
                </c:pt>
                <c:pt idx="1">
                  <c:v>0.52400000000000002</c:v>
                </c:pt>
                <c:pt idx="2">
                  <c:v>0.629</c:v>
                </c:pt>
              </c:numCache>
            </c:numRef>
          </c:val>
          <c:extLst>
            <c:ext xmlns:c16="http://schemas.microsoft.com/office/drawing/2014/chart" uri="{C3380CC4-5D6E-409C-BE32-E72D297353CC}">
              <c16:uniqueId val="{00000006-827F-439C-B729-0F36A72C6FB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284-4688-BA94-8FB00BD8FA02}"/>
              </c:ext>
            </c:extLst>
          </c:dPt>
          <c:dPt>
            <c:idx val="1"/>
            <c:invertIfNegative val="0"/>
            <c:bubble3D val="0"/>
            <c:spPr>
              <a:solidFill>
                <a:srgbClr val="7030A0"/>
              </a:solidFill>
              <a:ln>
                <a:noFill/>
              </a:ln>
            </c:spPr>
            <c:extLst>
              <c:ext xmlns:c16="http://schemas.microsoft.com/office/drawing/2014/chart" uri="{C3380CC4-5D6E-409C-BE32-E72D297353CC}">
                <c16:uniqueId val="{00000003-B284-4688-BA94-8FB00BD8FA0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284-4688-BA94-8FB00BD8FA0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0.28499999999999998</c:v>
                </c:pt>
                <c:pt idx="1">
                  <c:v>0.36099999999999999</c:v>
                </c:pt>
                <c:pt idx="2">
                  <c:v>0.47199999999999998</c:v>
                </c:pt>
              </c:numCache>
            </c:numRef>
          </c:val>
          <c:extLst>
            <c:ext xmlns:c16="http://schemas.microsoft.com/office/drawing/2014/chart" uri="{C3380CC4-5D6E-409C-BE32-E72D297353CC}">
              <c16:uniqueId val="{00000006-B284-4688-BA94-8FB00BD8FA0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layout>
        <c:manualLayout>
          <c:xMode val="edge"/>
          <c:yMode val="edge"/>
          <c:x val="0.39169637043451411"/>
          <c:y val="0.04"/>
        </c:manualLayout>
      </c:layout>
      <c:overlay val="0"/>
      <c:spPr>
        <a:noFill/>
        <a:ln>
          <a:noFill/>
        </a:ln>
      </c:spPr>
    </c:title>
    <c:autoTitleDeleted val="0"/>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F7E-4DF6-A36D-960AF10D50D3}"/>
              </c:ext>
            </c:extLst>
          </c:dPt>
          <c:dPt>
            <c:idx val="1"/>
            <c:invertIfNegative val="0"/>
            <c:bubble3D val="0"/>
            <c:spPr>
              <a:solidFill>
                <a:srgbClr val="7030A0"/>
              </a:solidFill>
              <a:ln>
                <a:noFill/>
              </a:ln>
            </c:spPr>
            <c:extLst>
              <c:ext xmlns:c16="http://schemas.microsoft.com/office/drawing/2014/chart" uri="{C3380CC4-5D6E-409C-BE32-E72D297353CC}">
                <c16:uniqueId val="{00000003-2F7E-4DF6-A36D-960AF10D50D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F7E-4DF6-A36D-960AF10D50D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0.60199999999999998</c:v>
                </c:pt>
                <c:pt idx="1">
                  <c:v>0.67600000000000005</c:v>
                </c:pt>
                <c:pt idx="2">
                  <c:v>0.755</c:v>
                </c:pt>
              </c:numCache>
            </c:numRef>
          </c:val>
          <c:extLst>
            <c:ext xmlns:c16="http://schemas.microsoft.com/office/drawing/2014/chart" uri="{C3380CC4-5D6E-409C-BE32-E72D297353CC}">
              <c16:uniqueId val="{00000006-2F7E-4DF6-A36D-960AF10D50D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6558229454054815"/>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359-40A0-A78C-BF5CDE382B62}"/>
              </c:ext>
            </c:extLst>
          </c:dPt>
          <c:dPt>
            <c:idx val="1"/>
            <c:invertIfNegative val="0"/>
            <c:bubble3D val="0"/>
            <c:spPr>
              <a:solidFill>
                <a:srgbClr val="7030A0"/>
              </a:solidFill>
              <a:ln>
                <a:noFill/>
              </a:ln>
            </c:spPr>
            <c:extLst>
              <c:ext xmlns:c16="http://schemas.microsoft.com/office/drawing/2014/chart" uri="{C3380CC4-5D6E-409C-BE32-E72D297353CC}">
                <c16:uniqueId val="{00000003-E359-40A0-A78C-BF5CDE382B6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359-40A0-A78C-BF5CDE382B6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0.25900000000000001</c:v>
                </c:pt>
                <c:pt idx="1">
                  <c:v>0.318</c:v>
                </c:pt>
                <c:pt idx="2">
                  <c:v>0.44700000000000001</c:v>
                </c:pt>
              </c:numCache>
            </c:numRef>
          </c:val>
          <c:extLst>
            <c:ext xmlns:c16="http://schemas.microsoft.com/office/drawing/2014/chart" uri="{C3380CC4-5D6E-409C-BE32-E72D297353CC}">
              <c16:uniqueId val="{00000006-E359-40A0-A78C-BF5CDE382B6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Senior Secondary Certificate (latest year)</a:t>
            </a:r>
          </a:p>
        </c:rich>
      </c:tx>
      <c:layout>
        <c:manualLayout>
          <c:xMode val="edge"/>
          <c:yMode val="edge"/>
          <c:x val="0.17478655767484105"/>
          <c:y val="7.1301247771836003E-3"/>
        </c:manualLayout>
      </c:layout>
      <c:overlay val="0"/>
      <c:spPr>
        <a:noFill/>
        <a:ln>
          <a:noFill/>
        </a:ln>
      </c:spPr>
    </c:title>
    <c:autoTitleDeleted val="0"/>
    <c:plotArea>
      <c:layout>
        <c:manualLayout>
          <c:layoutTarget val="inner"/>
          <c:xMode val="edge"/>
          <c:yMode val="edge"/>
          <c:x val="0.17901738845144358"/>
          <c:y val="0.15530026246719161"/>
          <c:w val="0.75487499999999996"/>
          <c:h val="0.59562030681993627"/>
        </c:manualLayout>
      </c:layout>
      <c:barChart>
        <c:barDir val="bar"/>
        <c:grouping val="clustered"/>
        <c:varyColors val="0"/>
        <c:ser>
          <c:idx val="1"/>
          <c:order val="0"/>
          <c:tx>
            <c:strRef>
              <c:f>Sheet1!$I$3:$I$5</c:f>
              <c:strCache>
                <c:ptCount val="3"/>
                <c:pt idx="0">
                  <c:v>School</c:v>
                </c:pt>
                <c:pt idx="1">
                  <c:v>Similar Schools</c:v>
                </c:pt>
                <c:pt idx="2">
                  <c:v>State</c:v>
                </c:pt>
              </c:strCache>
            </c:strRef>
          </c:tx>
          <c:spPr>
            <a:solidFill>
              <a:schemeClr val="accent2"/>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EFA-42C1-93C3-15075C3EECE7}"/>
              </c:ext>
            </c:extLst>
          </c:dPt>
          <c:dPt>
            <c:idx val="1"/>
            <c:invertIfNegative val="0"/>
            <c:bubble3D val="0"/>
            <c:spPr>
              <a:solidFill>
                <a:srgbClr val="7030A0"/>
              </a:solidFill>
              <a:ln>
                <a:noFill/>
              </a:ln>
            </c:spPr>
            <c:extLst>
              <c:ext xmlns:c16="http://schemas.microsoft.com/office/drawing/2014/chart" uri="{C3380CC4-5D6E-409C-BE32-E72D297353CC}">
                <c16:uniqueId val="{00000003-1EFA-42C1-93C3-15075C3EECE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EFA-42C1-93C3-15075C3EECE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Sheet1!$I$3:$I$5</c:f>
              <c:strCache>
                <c:ptCount val="3"/>
                <c:pt idx="0">
                  <c:v>School</c:v>
                </c:pt>
                <c:pt idx="1">
                  <c:v>Similar Schools</c:v>
                </c:pt>
                <c:pt idx="2">
                  <c:v>State</c:v>
                </c:pt>
              </c:strCache>
            </c:strRef>
          </c:cat>
          <c:val>
            <c:numRef>
              <c:f>Sheet1!$J$3:$J$5</c:f>
              <c:numCache>
                <c:formatCode>0.0%</c:formatCode>
                <c:ptCount val="3"/>
                <c:pt idx="0">
                  <c:v>1</c:v>
                </c:pt>
                <c:pt idx="1">
                  <c:v>0.95721100000000003</c:v>
                </c:pt>
                <c:pt idx="2">
                  <c:v>0.96568600000000004</c:v>
                </c:pt>
              </c:numCache>
            </c:numRef>
          </c:val>
          <c:extLst>
            <c:ext xmlns:c16="http://schemas.microsoft.com/office/drawing/2014/chart" uri="{C3380CC4-5D6E-409C-BE32-E72D297353CC}">
              <c16:uniqueId val="{00000006-1EFA-42C1-93C3-15075C3EEC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Completion Rate</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729373359580052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562-438F-B60C-8E542798EBB1}"/>
              </c:ext>
            </c:extLst>
          </c:dPt>
          <c:dPt>
            <c:idx val="1"/>
            <c:invertIfNegative val="0"/>
            <c:bubble3D val="0"/>
            <c:spPr>
              <a:solidFill>
                <a:srgbClr val="7030A0"/>
              </a:solidFill>
              <a:ln>
                <a:noFill/>
              </a:ln>
            </c:spPr>
            <c:extLst>
              <c:ext xmlns:c16="http://schemas.microsoft.com/office/drawing/2014/chart" uri="{C3380CC4-5D6E-409C-BE32-E72D297353CC}">
                <c16:uniqueId val="{00000003-4562-438F-B60C-8E542798EBB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562-438F-B60C-8E542798EBB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0.55100000000000005</c:v>
                </c:pt>
                <c:pt idx="1">
                  <c:v>0.56999999999999995</c:v>
                </c:pt>
                <c:pt idx="2">
                  <c:v>0.66100000000000003</c:v>
                </c:pt>
              </c:numCache>
            </c:numRef>
          </c:val>
          <c:extLst>
            <c:ext xmlns:c16="http://schemas.microsoft.com/office/drawing/2014/chart" uri="{C3380CC4-5D6E-409C-BE32-E72D297353CC}">
              <c16:uniqueId val="{00000006-4562-438F-B60C-8E542798EBB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341-41AC-8286-E4D3CFF0CF72}"/>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341-41AC-8286-E4D3CFF0CF7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0.78400000000000003</c:v>
                </c:pt>
                <c:pt idx="1">
                  <c:v>0.73099999999999998</c:v>
                </c:pt>
              </c:numCache>
            </c:numRef>
          </c:val>
          <c:extLst>
            <c:ext xmlns:c16="http://schemas.microsoft.com/office/drawing/2014/chart" uri="{C3380CC4-5D6E-409C-BE32-E72D297353CC}">
              <c16:uniqueId val="{00000004-7341-41AC-8286-E4D3CFF0CF7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7</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519-4EE6-BAB6-8E389235A65D}"/>
              </c:ext>
            </c:extLst>
          </c:dPt>
          <c:dPt>
            <c:idx val="1"/>
            <c:invertIfNegative val="0"/>
            <c:bubble3D val="0"/>
            <c:spPr>
              <a:solidFill>
                <a:srgbClr val="7030A0"/>
              </a:solidFill>
              <a:ln>
                <a:noFill/>
              </a:ln>
            </c:spPr>
            <c:extLst>
              <c:ext xmlns:c16="http://schemas.microsoft.com/office/drawing/2014/chart" uri="{C3380CC4-5D6E-409C-BE32-E72D297353CC}">
                <c16:uniqueId val="{00000003-1519-4EE6-BAB6-8E389235A65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519-4EE6-BAB6-8E389235A65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0.36599999999999999</c:v>
                </c:pt>
                <c:pt idx="1">
                  <c:v>0.41499999999999998</c:v>
                </c:pt>
                <c:pt idx="2">
                  <c:v>0.52500000000000002</c:v>
                </c:pt>
              </c:numCache>
            </c:numRef>
          </c:val>
          <c:extLst>
            <c:ext xmlns:c16="http://schemas.microsoft.com/office/drawing/2014/chart" uri="{C3380CC4-5D6E-409C-BE32-E72D297353CC}">
              <c16:uniqueId val="{00000006-1519-4EE6-BAB6-8E389235A65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12</a:t>
            </a:r>
          </a:p>
        </c:rich>
      </c:tx>
      <c:layout>
        <c:manualLayout>
          <c:xMode val="edge"/>
          <c:yMode val="edge"/>
          <c:x val="0.2615598659923607"/>
          <c:y val="4.0000000000000008E-2"/>
        </c:manualLayout>
      </c:layout>
      <c:overlay val="0"/>
      <c:spPr>
        <a:noFill/>
        <a:ln>
          <a:noFill/>
        </a:ln>
      </c:spPr>
    </c:title>
    <c:autoTitleDeleted val="0"/>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FEF-4DC4-B83C-DF1CFCB5A680}"/>
              </c:ext>
            </c:extLst>
          </c:dPt>
          <c:dPt>
            <c:idx val="1"/>
            <c:invertIfNegative val="0"/>
            <c:bubble3D val="0"/>
            <c:spPr>
              <a:solidFill>
                <a:srgbClr val="7030A0"/>
              </a:solidFill>
              <a:ln>
                <a:noFill/>
              </a:ln>
            </c:spPr>
            <c:extLst>
              <c:ext xmlns:c16="http://schemas.microsoft.com/office/drawing/2014/chart" uri="{C3380CC4-5D6E-409C-BE32-E72D297353CC}">
                <c16:uniqueId val="{00000003-0FEF-4DC4-B83C-DF1CFCB5A68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FEF-4DC4-B83C-DF1CFCB5A68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0.51497000000000004</c:v>
                </c:pt>
                <c:pt idx="1">
                  <c:v>0.47987299999999999</c:v>
                </c:pt>
                <c:pt idx="2">
                  <c:v>0.46553</c:v>
                </c:pt>
              </c:numCache>
            </c:numRef>
          </c:val>
          <c:extLst>
            <c:ext xmlns:c16="http://schemas.microsoft.com/office/drawing/2014/chart" uri="{C3380CC4-5D6E-409C-BE32-E72D297353CC}">
              <c16:uniqueId val="{00000006-0FEF-4DC4-B83C-DF1CFCB5A68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7 to 10</a:t>
            </a:r>
          </a:p>
        </c:rich>
      </c:tx>
      <c:overlay val="0"/>
      <c:spPr>
        <a:noFill/>
        <a:ln>
          <a:noFill/>
        </a:ln>
      </c:spPr>
    </c:title>
    <c:autoTitleDeleted val="0"/>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BA6-4A6F-B157-75ADEC16B3C0}"/>
              </c:ext>
            </c:extLst>
          </c:dPt>
          <c:dPt>
            <c:idx val="1"/>
            <c:invertIfNegative val="0"/>
            <c:bubble3D val="0"/>
            <c:spPr>
              <a:solidFill>
                <a:srgbClr val="7030A0"/>
              </a:solidFill>
              <a:ln>
                <a:noFill/>
              </a:ln>
            </c:spPr>
            <c:extLst>
              <c:ext xmlns:c16="http://schemas.microsoft.com/office/drawing/2014/chart" uri="{C3380CC4-5D6E-409C-BE32-E72D297353CC}">
                <c16:uniqueId val="{00000003-BBA6-4A6F-B157-75ADEC16B3C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BA6-4A6F-B157-75ADEC16B3C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0.48</c:v>
                </c:pt>
                <c:pt idx="1">
                  <c:v>0.58199999999999996</c:v>
                </c:pt>
                <c:pt idx="2">
                  <c:v>0.68200000000000005</c:v>
                </c:pt>
              </c:numCache>
            </c:numRef>
          </c:val>
          <c:extLst>
            <c:ext xmlns:c16="http://schemas.microsoft.com/office/drawing/2014/chart" uri="{C3380CC4-5D6E-409C-BE32-E72D297353CC}">
              <c16:uniqueId val="{00000006-BBA6-4A6F-B157-75ADEC16B3C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55352115512415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9</a:t>
            </a:r>
          </a:p>
        </c:rich>
      </c:tx>
      <c:layout>
        <c:manualLayout>
          <c:xMode val="edge"/>
          <c:yMode val="edge"/>
          <c:x val="0.25627066929133857"/>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99A-46CF-8643-2E35C50638A9}"/>
              </c:ext>
            </c:extLst>
          </c:dPt>
          <c:dPt>
            <c:idx val="1"/>
            <c:invertIfNegative val="0"/>
            <c:bubble3D val="0"/>
            <c:spPr>
              <a:solidFill>
                <a:srgbClr val="7030A0"/>
              </a:solidFill>
              <a:ln>
                <a:noFill/>
              </a:ln>
            </c:spPr>
            <c:extLst>
              <c:ext xmlns:c16="http://schemas.microsoft.com/office/drawing/2014/chart" uri="{C3380CC4-5D6E-409C-BE32-E72D297353CC}">
                <c16:uniqueId val="{00000003-F99A-46CF-8643-2E35C50638A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99A-46CF-8643-2E35C50638A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0.42899999999999999</c:v>
                </c:pt>
                <c:pt idx="1">
                  <c:v>0.47599999999999998</c:v>
                </c:pt>
                <c:pt idx="2">
                  <c:v>0.59899999999999998</c:v>
                </c:pt>
              </c:numCache>
            </c:numRef>
          </c:val>
          <c:extLst>
            <c:ext xmlns:c16="http://schemas.microsoft.com/office/drawing/2014/chart" uri="{C3380CC4-5D6E-409C-BE32-E72D297353CC}">
              <c16:uniqueId val="{00000006-F99A-46CF-8643-2E35C50638A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4y6AUpMH0jOppXMHdD5NOHPw==">CgMxLjAyCGguZ2pkZ3hzMgppZC4zMGowemxsOAByITFPTHdqbmRtMUN5UV82UzlLSl94dVBYeW1HamZqNU1RSg==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2024-03-14T23:21:00Z</dcterms:created>
  <dc:creator>Dori Maniatakis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y fmtid="{D5CDD505-2E9C-101B-9397-08002B2CF9AE}" pid="3" name="GrammarlyDocumentId">
    <vt:lpwstr>4dcaa176999f94a4a768b1d220cd13b0873e9675c86f4594efbf79811c1fc89a</vt:lpwstr>
  </property>
</Properties>
</file>